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Aptos;sans-serif" w:hAnsi="Aptos;sans-serif"/>
          <w:b w:val="false"/>
          <w:color w:val="000000"/>
          <w:sz w:val="24"/>
        </w:rPr>
      </w:pPr>
      <w:r>
        <w:rPr>
          <w:rFonts w:ascii="Aptos;sans-serif" w:hAnsi="Aptos;sans-serif"/>
          <w:b w:val="false"/>
          <w:color w:val="000000"/>
          <w:sz w:val="24"/>
        </w:rPr>
        <w:t>UNITED STATES</w:t>
      </w:r>
    </w:p>
    <w:p>
      <w:pPr>
        <w:pStyle w:val="TextBody"/>
        <w:bidi w:val="0"/>
        <w:spacing w:lineRule="auto" w:line="333" w:before="0" w:after="0"/>
        <w:jc w:val="center"/>
        <w:rPr>
          <w:rFonts w:ascii="Aptos;sans-serif" w:hAnsi="Aptos;sans-serif"/>
          <w:b w:val="false"/>
          <w:color w:val="000000"/>
          <w:sz w:val="24"/>
        </w:rPr>
      </w:pPr>
      <w:r>
        <w:rPr>
          <w:rFonts w:ascii="Aptos;sans-serif" w:hAnsi="Aptos;sans-serif"/>
          <w:b w:val="false"/>
          <w:color w:val="000000"/>
          <w:sz w:val="24"/>
        </w:rPr>
        <w:t>SECURITIES AND EXCHANGE COMMISSION</w:t>
      </w:r>
    </w:p>
    <w:p>
      <w:pPr>
        <w:pStyle w:val="TextBody"/>
        <w:bidi w:val="0"/>
        <w:spacing w:lineRule="auto" w:line="333" w:before="0" w:after="0"/>
        <w:jc w:val="center"/>
        <w:rPr>
          <w:rFonts w:ascii="Aptos;sans-serif" w:hAnsi="Aptos;sans-serif"/>
          <w:b w:val="false"/>
          <w:color w:val="000000"/>
          <w:sz w:val="24"/>
        </w:rPr>
      </w:pPr>
      <w:r>
        <w:rPr>
          <w:rFonts w:ascii="Aptos;sans-serif" w:hAnsi="Aptos;sans-serif"/>
          <w:b w:val="false"/>
          <w:color w:val="000000"/>
          <w:sz w:val="24"/>
        </w:rPr>
        <w:t>WASHINGTON, D.C. 20549</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ptos;sans-serif" w:hAnsi="Aptos;sans-serif"/>
          <w:b/>
          <w:color w:val="000000"/>
          <w:sz w:val="24"/>
        </w:rPr>
      </w:pPr>
      <w:r>
        <w:rPr>
          <w:rFonts w:ascii="Aptos;sans-serif" w:hAnsi="Aptos;sans-serif"/>
          <w:b/>
          <w:color w:val="000000"/>
          <w:sz w:val="24"/>
        </w:rPr>
        <w:t xml:space="preserve">Form 8-K </w:t>
      </w:r>
    </w:p>
    <w:p>
      <w:pPr>
        <w:pStyle w:val="TextBody"/>
        <w:bidi w:val="0"/>
        <w:spacing w:before="0" w:after="0"/>
        <w:jc w:val="center"/>
        <w:rPr/>
      </w:pPr>
      <w:r>
        <w:rPr/>
      </w:r>
    </w:p>
    <w:p>
      <w:pPr>
        <w:pStyle w:val="TextBody"/>
        <w:bidi w:val="0"/>
        <w:spacing w:lineRule="auto" w:line="333" w:before="0" w:after="0"/>
        <w:jc w:val="center"/>
        <w:rPr>
          <w:rFonts w:ascii="Aptos;sans-serif" w:hAnsi="Aptos;sans-serif"/>
          <w:b w:val="false"/>
          <w:color w:val="000000"/>
          <w:sz w:val="20"/>
        </w:rPr>
      </w:pPr>
      <w:r>
        <w:rPr>
          <w:rFonts w:ascii="Aptos;sans-serif" w:hAnsi="Aptos;sans-serif"/>
          <w:b w:val="false"/>
          <w:color w:val="000000"/>
          <w:sz w:val="20"/>
        </w:rPr>
        <w:t>CURRENT REPORT</w:t>
      </w:r>
    </w:p>
    <w:p>
      <w:pPr>
        <w:pStyle w:val="TextBody"/>
        <w:bidi w:val="0"/>
        <w:spacing w:lineRule="auto" w:line="333" w:before="0" w:after="0"/>
        <w:jc w:val="center"/>
        <w:rPr>
          <w:rFonts w:ascii="Aptos;sans-serif" w:hAnsi="Aptos;sans-serif"/>
          <w:b w:val="false"/>
          <w:color w:val="000000"/>
          <w:sz w:val="20"/>
        </w:rPr>
      </w:pPr>
      <w:r>
        <w:rPr>
          <w:rFonts w:ascii="Aptos;sans-serif" w:hAnsi="Aptos;sans-serif"/>
          <w:b w:val="false"/>
          <w:color w:val="000000"/>
          <w:sz w:val="20"/>
        </w:rPr>
        <w:t>PURSUANT TO SECTION 13 OR 15(D) OF THE SECURITIES EXCHANGE ACT OF 1934</w:t>
      </w:r>
    </w:p>
    <w:p>
      <w:pPr>
        <w:pStyle w:val="TextBody"/>
        <w:bidi w:val="0"/>
        <w:spacing w:lineRule="auto" w:line="333" w:before="0" w:after="0"/>
        <w:jc w:val="center"/>
        <w:rPr>
          <w:rFonts w:ascii="Aptos;sans-serif" w:hAnsi="Aptos;sans-serif"/>
          <w:b w:val="false"/>
          <w:color w:val="000000"/>
          <w:sz w:val="20"/>
        </w:rPr>
      </w:pPr>
      <w:r>
        <w:rPr>
          <w:rFonts w:ascii="Aptos;sans-serif" w:hAnsi="Aptos;sans-serif"/>
          <w:b w:val="false"/>
          <w:color w:val="000000"/>
          <w:sz w:val="20"/>
        </w:rPr>
        <w:t xml:space="preserve">DATE OF REPORT – July 23, 2026 </w:t>
      </w:r>
    </w:p>
    <w:p>
      <w:pPr>
        <w:pStyle w:val="TextBody"/>
        <w:bidi w:val="0"/>
        <w:spacing w:lineRule="auto" w:line="333" w:before="0" w:after="0"/>
        <w:jc w:val="center"/>
        <w:rPr>
          <w:rFonts w:ascii="Aptos;sans-serif" w:hAnsi="Aptos;sans-serif"/>
          <w:b w:val="false"/>
          <w:color w:val="000000"/>
          <w:sz w:val="20"/>
        </w:rPr>
      </w:pPr>
      <w:r>
        <w:rPr>
          <w:rFonts w:ascii="Aptos;sans-serif" w:hAnsi="Aptos;sans-serif"/>
          <w:b w:val="false"/>
          <w:color w:val="000000"/>
          <w:sz w:val="20"/>
        </w:rPr>
        <w:t>(Date of earliest event reported)</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ptos;sans-serif" w:hAnsi="Aptos;sans-serif"/>
          <w:b/>
          <w:color w:val="000000"/>
          <w:sz w:val="40"/>
        </w:rPr>
      </w:pPr>
      <w:r>
        <w:rPr>
          <w:rFonts w:ascii="Aptos;sans-serif" w:hAnsi="Aptos;sans-serif"/>
          <w:b/>
          <w:color w:val="000000"/>
          <w:sz w:val="40"/>
        </w:rPr>
        <w:t>HONEYWELL AEROSPACE INC.</w:t>
      </w:r>
    </w:p>
    <w:p>
      <w:pPr>
        <w:pStyle w:val="TextBody"/>
        <w:bidi w:val="0"/>
        <w:spacing w:lineRule="auto" w:line="333" w:before="0" w:after="0"/>
        <w:jc w:val="center"/>
        <w:rPr>
          <w:rFonts w:ascii="Aptos;sans-serif" w:hAnsi="Aptos;sans-serif"/>
          <w:b w:val="false"/>
          <w:color w:val="000000"/>
          <w:sz w:val="20"/>
        </w:rPr>
      </w:pPr>
      <w:r>
        <w:rPr>
          <w:rFonts w:ascii="Aptos;sans-serif" w:hAnsi="Aptos;sans-serif"/>
          <w:b w:val="false"/>
          <w:color w:val="000000"/>
          <w:sz w:val="20"/>
        </w:rPr>
        <w:t>(Exact name of Registrant as specified in its Charter)</w:t>
      </w:r>
    </w:p>
    <w:p>
      <w:pPr>
        <w:pStyle w:val="TextBody"/>
        <w:bidi w:val="0"/>
        <w:spacing w:lineRule="auto" w:line="333" w:before="0" w:after="0"/>
        <w:jc w:val="center"/>
        <w:rPr>
          <w:color w:val="000000"/>
        </w:rPr>
      </w:pPr>
      <w:r>
        <w:rPr>
          <w:color w:val="000000"/>
        </w:rPr>
        <w:t> </w:t>
      </w:r>
    </w:p>
    <w:tbl>
      <w:tblPr>
        <w:tblW w:w="8683" w:type="dxa"/>
        <w:jc w:val="left"/>
        <w:tblInd w:w="0" w:type="dxa"/>
        <w:tblLayout w:type="fixed"/>
        <w:tblCellMar>
          <w:top w:w="28" w:type="dxa"/>
          <w:left w:w="28" w:type="dxa"/>
          <w:bottom w:w="28" w:type="dxa"/>
          <w:right w:w="28" w:type="dxa"/>
        </w:tblCellMar>
      </w:tblPr>
      <w:tblGrid>
        <w:gridCol w:w="1059"/>
        <w:gridCol w:w="931"/>
        <w:gridCol w:w="935"/>
        <w:gridCol w:w="902"/>
        <w:gridCol w:w="902"/>
        <w:gridCol w:w="910"/>
        <w:gridCol w:w="892"/>
        <w:gridCol w:w="892"/>
        <w:gridCol w:w="1260"/>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Delaware</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001-43173</w:t>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39-4202057</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ptos;sans-serif" w:hAnsi="Aptos;sans-serif"/>
                <w:b w:val="false"/>
                <w:color w:val="000000"/>
                <w:sz w:val="20"/>
              </w:rPr>
            </w:pPr>
            <w:r>
              <w:rPr>
                <w:rFonts w:ascii="Aptos;sans-serif" w:hAnsi="Aptos;sans-serif"/>
                <w:b w:val="false"/>
                <w:color w:val="000000"/>
                <w:sz w:val="20"/>
              </w:rPr>
              <w:t>(State or other jurisdiction of</w:t>
            </w:r>
          </w:p>
          <w:p>
            <w:pPr>
              <w:pStyle w:val="TableContents"/>
              <w:bidi w:val="0"/>
              <w:spacing w:lineRule="auto" w:line="288" w:before="0" w:after="30"/>
              <w:jc w:val="center"/>
              <w:rPr>
                <w:rFonts w:ascii="Aptos;sans-serif" w:hAnsi="Aptos;sans-serif"/>
                <w:b w:val="false"/>
                <w:color w:val="000000"/>
                <w:sz w:val="20"/>
              </w:rPr>
            </w:pPr>
            <w:r>
              <w:rPr>
                <w:rFonts w:ascii="Aptos;sans-serif" w:hAnsi="Aptos;sans-serif"/>
                <w:b w:val="false"/>
                <w:color w:val="000000"/>
                <w:sz w:val="20"/>
              </w:rPr>
              <w:t>incorporation)</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(Commission File Number)</w:t>
            </w:r>
          </w:p>
        </w:tc>
        <w:tc>
          <w:tcPr>
            <w:tcW w:w="304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ptos;sans-serif" w:hAnsi="Aptos;sans-serif"/>
                <w:b w:val="false"/>
                <w:color w:val="000000"/>
                <w:sz w:val="20"/>
              </w:rPr>
            </w:pPr>
            <w:r>
              <w:rPr>
                <w:rFonts w:ascii="Aptos;sans-serif" w:hAnsi="Aptos;sans-serif"/>
                <w:b w:val="false"/>
                <w:color w:val="000000"/>
                <w:sz w:val="20"/>
              </w:rPr>
              <w:t>(I.R.S. Employer Identification</w:t>
            </w:r>
          </w:p>
          <w:p>
            <w:pPr>
              <w:pStyle w:val="TableContents"/>
              <w:bidi w:val="0"/>
              <w:spacing w:lineRule="auto" w:line="288" w:before="0" w:after="30"/>
              <w:jc w:val="center"/>
              <w:rPr>
                <w:rFonts w:ascii="Aptos;sans-serif" w:hAnsi="Aptos;sans-serif"/>
                <w:b w:val="false"/>
                <w:color w:val="000000"/>
                <w:sz w:val="20"/>
              </w:rPr>
            </w:pPr>
            <w:r>
              <w:rPr>
                <w:rFonts w:ascii="Aptos;sans-serif" w:hAnsi="Aptos;sans-serif"/>
                <w:b w:val="false"/>
                <w:color w:val="000000"/>
                <w:sz w:val="20"/>
              </w:rPr>
              <w:t>Number)</w:t>
            </w:r>
          </w:p>
        </w:tc>
      </w:tr>
    </w:tbl>
    <w:tbl>
      <w:tblPr>
        <w:tblW w:w="5099" w:type="dxa"/>
        <w:jc w:val="center"/>
        <w:tblInd w:w="0" w:type="dxa"/>
        <w:tblLayout w:type="fixed"/>
        <w:tblCellMar>
          <w:top w:w="28" w:type="dxa"/>
          <w:left w:w="28" w:type="dxa"/>
          <w:bottom w:w="28" w:type="dxa"/>
          <w:right w:w="28" w:type="dxa"/>
        </w:tblCellMar>
      </w:tblPr>
      <w:tblGrid>
        <w:gridCol w:w="1423"/>
        <w:gridCol w:w="1249"/>
        <w:gridCol w:w="1257"/>
        <w:gridCol w:w="343"/>
        <w:gridCol w:w="343"/>
        <w:gridCol w:w="48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Aptos;sans-serif" w:hAnsi="Aptos;sans-serif"/>
                <w:b/>
                <w:color w:val="000000"/>
                <w:sz w:val="20"/>
              </w:rPr>
            </w:pPr>
            <w:r>
              <w:rPr>
                <w:rFonts w:ascii="Aptos;sans-serif" w:hAnsi="Aptos;sans-serif"/>
                <w:b/>
                <w:color w:val="000000"/>
                <w:sz w:val="20"/>
              </w:rPr>
              <w:t>1944 E Sky Harbor Cir N</w:t>
            </w:r>
          </w:p>
          <w:p>
            <w:pPr>
              <w:pStyle w:val="TableContents"/>
              <w:bidi w:val="0"/>
              <w:spacing w:lineRule="auto" w:line="333" w:before="0" w:after="0"/>
              <w:jc w:val="center"/>
              <w:rPr>
                <w:rFonts w:ascii="Aptos;sans-serif" w:hAnsi="Aptos;sans-serif"/>
                <w:b/>
                <w:color w:val="000000"/>
                <w:sz w:val="20"/>
              </w:rPr>
            </w:pPr>
            <w:r>
              <w:rPr>
                <w:rFonts w:ascii="Aptos;sans-serif" w:hAnsi="Aptos;sans-serif"/>
                <w:b/>
                <w:color w:val="000000"/>
                <w:sz w:val="20"/>
              </w:rPr>
              <w:t>Phoenix, Arizona</w:t>
            </w:r>
          </w:p>
        </w:tc>
        <w:tc>
          <w:tcPr>
            <w:tcW w:w="1170"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ptos;sans-serif" w:hAnsi="Aptos;sans-serif"/>
                <w:b/>
                <w:color w:val="000000"/>
                <w:sz w:val="20"/>
              </w:rPr>
            </w:pPr>
            <w:r>
              <w:rPr>
                <w:rFonts w:ascii="Aptos;sans-serif" w:hAnsi="Aptos;sans-serif"/>
                <w:b/>
                <w:color w:val="000000"/>
                <w:sz w:val="20"/>
              </w:rPr>
              <w:t>85034</w:t>
            </w:r>
          </w:p>
        </w:tc>
      </w:tr>
      <w:tr>
        <w:trPr/>
        <w:tc>
          <w:tcPr>
            <w:tcW w:w="3929"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Aptos;sans-serif" w:hAnsi="Aptos;sans-serif"/>
                <w:b w:val="false"/>
                <w:color w:val="000000"/>
                <w:sz w:val="20"/>
              </w:rPr>
            </w:pPr>
            <w:r>
              <w:rPr>
                <w:rFonts w:ascii="Aptos;sans-serif" w:hAnsi="Aptos;sans-serif"/>
                <w:b w:val="false"/>
                <w:color w:val="000000"/>
                <w:sz w:val="20"/>
              </w:rPr>
              <w:t>(Address of principal executive offices)</w:t>
            </w:r>
          </w:p>
        </w:tc>
        <w:tc>
          <w:tcPr>
            <w:tcW w:w="1170" w:type="dxa"/>
            <w:gridSpan w:val="3"/>
            <w:tcBorders/>
            <w:tcMar>
              <w:top w:w="0" w:type="dxa"/>
              <w:left w:w="0" w:type="dxa"/>
              <w:bottom w:w="0" w:type="dxa"/>
              <w:right w:w="0" w:type="dxa"/>
            </w:tcMar>
            <w:vAlign w:val="center"/>
          </w:tcPr>
          <w:p>
            <w:pPr>
              <w:pStyle w:val="TableContents"/>
              <w:bidi w:val="0"/>
              <w:spacing w:lineRule="auto" w:line="333" w:before="0" w:after="283"/>
              <w:jc w:val="center"/>
              <w:rPr>
                <w:rFonts w:ascii="Aptos;sans-serif" w:hAnsi="Aptos;sans-serif"/>
                <w:b w:val="false"/>
                <w:color w:val="000000"/>
                <w:sz w:val="20"/>
              </w:rPr>
            </w:pPr>
            <w:r>
              <w:rPr>
                <w:rFonts w:ascii="Aptos;sans-serif" w:hAnsi="Aptos;sans-serif"/>
                <w:b w:val="false"/>
                <w:color w:val="000000"/>
                <w:sz w:val="20"/>
              </w:rPr>
              <w:t>(Zip Code)</w:t>
            </w:r>
          </w:p>
        </w:tc>
      </w:tr>
    </w:tbl>
    <w:p>
      <w:pPr>
        <w:pStyle w:val="TextBody"/>
        <w:bidi w:val="0"/>
        <w:spacing w:before="0" w:after="0"/>
        <w:jc w:val="left"/>
        <w:rPr/>
      </w:pPr>
      <w:r>
        <w:rPr/>
      </w:r>
    </w:p>
    <w:p>
      <w:pPr>
        <w:pStyle w:val="TextBody"/>
        <w:bidi w:val="0"/>
        <w:spacing w:lineRule="auto" w:line="333" w:before="0" w:after="0"/>
        <w:jc w:val="center"/>
        <w:rPr/>
      </w:pPr>
      <w:r>
        <w:rPr>
          <w:color w:val="000000"/>
        </w:rPr>
        <w:t> </w:t>
      </w:r>
      <w:r>
        <w:rPr>
          <w:rFonts w:ascii="Aptos;sans-serif" w:hAnsi="Aptos;sans-serif"/>
          <w:b w:val="false"/>
          <w:color w:val="000000"/>
          <w:sz w:val="20"/>
        </w:rPr>
        <w:t xml:space="preserve">Registrant’s telephone number, including area code: </w:t>
      </w:r>
      <w:r>
        <w:rPr>
          <w:rFonts w:ascii="Aptos;sans-serif" w:hAnsi="Aptos;sans-serif"/>
          <w:b/>
          <w:color w:val="000000"/>
          <w:sz w:val="20"/>
        </w:rPr>
        <w:t>(800) 601-3099</w:t>
      </w:r>
    </w:p>
    <w:p>
      <w:pPr>
        <w:pStyle w:val="TextBody"/>
        <w:bidi w:val="0"/>
        <w:spacing w:before="0" w:after="0"/>
        <w:jc w:val="center"/>
        <w:rPr/>
      </w:pPr>
      <w:r>
        <w:rPr/>
      </w:r>
    </w:p>
    <w:p>
      <w:pPr>
        <w:pStyle w:val="TextBody"/>
        <w:bidi w:val="0"/>
        <w:spacing w:lineRule="auto" w:line="333" w:before="0" w:after="0"/>
        <w:jc w:val="left"/>
        <w:rPr>
          <w:rFonts w:ascii="Aptos;sans-serif" w:hAnsi="Aptos;sans-serif"/>
          <w:b w:val="false"/>
          <w:color w:val="000000"/>
          <w:sz w:val="20"/>
        </w:rPr>
      </w:pPr>
      <w:r>
        <w:rPr>
          <w:rFonts w:ascii="Aptos;sans-serif" w:hAnsi="Aptos;sans-serif"/>
          <w:b w:val="false"/>
          <w:color w:val="000000"/>
          <w:sz w:val="20"/>
        </w:rPr>
        <w:t>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333" w:before="0" w:after="0"/>
        <w:jc w:val="left"/>
        <w:rPr>
          <w:rFonts w:ascii="Aptos;sans-serif" w:hAnsi="Aptos;sans-serif"/>
          <w:b w:val="false"/>
          <w:color w:val="000000"/>
          <w:sz w:val="20"/>
        </w:rPr>
      </w:pPr>
      <w:r>
        <w:rPr>
          <w:rFonts w:ascii="Aptos;sans-serif" w:hAnsi="Aptos;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17"/>
        <w:gridCol w:w="1255"/>
        <w:gridCol w:w="1258"/>
        <w:gridCol w:w="109"/>
        <w:gridCol w:w="109"/>
        <w:gridCol w:w="109"/>
        <w:gridCol w:w="563"/>
        <w:gridCol w:w="563"/>
        <w:gridCol w:w="565"/>
        <w:gridCol w:w="109"/>
        <w:gridCol w:w="109"/>
        <w:gridCol w:w="109"/>
        <w:gridCol w:w="1119"/>
        <w:gridCol w:w="1119"/>
        <w:gridCol w:w="1592"/>
      </w:tblGrid>
      <w:tr>
        <w:trPr/>
        <w:tc>
          <w:tcPr>
            <w:tcW w:w="151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Name of each exchange on which registered</w:t>
            </w:r>
          </w:p>
        </w:tc>
      </w:tr>
      <w:tr>
        <w:trPr/>
        <w:tc>
          <w:tcPr>
            <w:tcW w:w="4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HONA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The Nasdaq Stock Market LLC</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ptos;sans-serif" w:hAnsi="Aptos;sans-serif"/>
          <w:b w:val="false"/>
          <w:color w:val="000000"/>
          <w:sz w:val="20"/>
        </w:rPr>
      </w:pPr>
      <w:r>
        <w:rPr>
          <w:rFonts w:ascii="Aptos;sans-serif" w:hAnsi="Aptos;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0"/>
        <w:jc w:val="right"/>
        <w:rPr>
          <w:rFonts w:ascii="Aptos;sans-serif" w:hAnsi="Aptos;sans-serif"/>
          <w:b w:val="false"/>
          <w:color w:val="000000"/>
          <w:sz w:val="20"/>
        </w:rPr>
      </w:pPr>
      <w:r>
        <w:rPr>
          <w:rFonts w:ascii="Aptos;sans-serif" w:hAnsi="Aptos;sans-serif"/>
          <w:b w:val="false"/>
          <w:color w:val="000000"/>
          <w:sz w:val="20"/>
        </w:rPr>
        <w:t xml:space="preserve">Emerging Growth Company ☐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pPr>
      <w:r>
        <w:rPr>
          <w:rFonts w:ascii="Aptos;sans-serif" w:hAnsi="Aptos;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Aptos;sans-serif" w:hAnsi="Aptos;sans-serif"/>
          <w:b/>
          <w:color w:val="000000"/>
          <w:sz w:val="20"/>
        </w:rPr>
      </w:pPr>
      <w:r>
        <w:rPr>
          <w:rFonts w:ascii="Aptos;sans-serif" w:hAnsi="Aptos;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333" w:before="0" w:after="0"/>
        <w:jc w:val="left"/>
        <w:rPr>
          <w:rFonts w:ascii="Aptos;sans-serif" w:hAnsi="Aptos;sans-serif"/>
          <w:b w:val="false"/>
          <w:color w:val="000000"/>
          <w:sz w:val="20"/>
        </w:rPr>
      </w:pPr>
      <w:r>
        <w:rPr>
          <w:rFonts w:ascii="Aptos;sans-serif" w:hAnsi="Aptos;sans-serif"/>
          <w:b w:val="false"/>
          <w:color w:val="000000"/>
          <w:sz w:val="20"/>
        </w:rPr>
        <w:t>On August 5, 2026, Honeywell Aerospace Inc. (the “Company”) issued a press release announcing its financial results for the second quarter ended June 27, 2026. A copy of the press release is furnished as Exhibit 99.1 to this Current Report on Form 8-K and is incorporated into this Item 2.02 by reference.</w:t>
      </w:r>
    </w:p>
    <w:p>
      <w:pPr>
        <w:pStyle w:val="TextBody"/>
        <w:bidi w:val="0"/>
        <w:spacing w:before="0" w:after="0"/>
        <w:jc w:val="left"/>
        <w:rPr/>
      </w:pPr>
      <w:r>
        <w:rPr/>
      </w:r>
    </w:p>
    <w:p>
      <w:pPr>
        <w:pStyle w:val="TextBody"/>
        <w:bidi w:val="0"/>
        <w:spacing w:lineRule="auto" w:line="333" w:before="0" w:after="0"/>
        <w:jc w:val="left"/>
        <w:rPr>
          <w:rFonts w:ascii="Aptos;sans-serif" w:hAnsi="Aptos;sans-serif"/>
          <w:b w:val="false"/>
          <w:color w:val="000000"/>
          <w:sz w:val="20"/>
        </w:rPr>
      </w:pPr>
      <w:r>
        <w:rPr>
          <w:rFonts w:ascii="Aptos;sans-serif" w:hAnsi="Aptos;sans-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jc w:val="left"/>
        <w:rPr/>
      </w:pPr>
      <w:r>
        <w:rPr/>
      </w:r>
    </w:p>
    <w:p>
      <w:pPr>
        <w:pStyle w:val="TextBody"/>
        <w:bidi w:val="0"/>
        <w:spacing w:lineRule="auto" w:line="276" w:before="0" w:after="0"/>
        <w:ind w:left="0" w:right="0" w:hanging="1440"/>
        <w:jc w:val="left"/>
        <w:rPr>
          <w:rFonts w:ascii="Aptos;sans-serif" w:hAnsi="Aptos;sans-serif"/>
          <w:b/>
          <w:color w:val="000000"/>
          <w:sz w:val="20"/>
        </w:rPr>
      </w:pPr>
      <w:r>
        <w:rPr>
          <w:rFonts w:ascii="Aptos;sans-serif" w:hAnsi="Aptos;sans-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hanging="1440"/>
        <w:jc w:val="left"/>
        <w:rPr/>
      </w:pPr>
      <w:r>
        <w:rPr/>
      </w:r>
    </w:p>
    <w:p>
      <w:pPr>
        <w:pStyle w:val="TextBody"/>
        <w:bidi w:val="0"/>
        <w:spacing w:lineRule="auto" w:line="333" w:before="0" w:after="180"/>
        <w:jc w:val="left"/>
        <w:rPr>
          <w:rFonts w:ascii="Aptos;sans-serif" w:hAnsi="Aptos;sans-serif"/>
          <w:b w:val="false"/>
          <w:color w:val="000000"/>
          <w:sz w:val="20"/>
        </w:rPr>
      </w:pPr>
      <w:r>
        <w:rPr>
          <w:rFonts w:ascii="Aptos;sans-serif" w:hAnsi="Aptos;sans-serif"/>
          <w:b w:val="false"/>
          <w:color w:val="000000"/>
          <w:sz w:val="20"/>
        </w:rPr>
        <w:t>On August 3, 2026, the Company granted a one-time equity bridge award (the “Bridge Grant”) under the 2026 Stock Incentive Plan of Honeywell Aerospace Inc. and its Affiliates (the “2026 Plan”) to James Currier, President and Chief Executive Officer, with a grant date value of $9,000,000. The Bridge Grant is intended to provide Mr. Currier with the remaining portion of his full-year 2026 long-term incentive target following the Company’s separation from Honeywell International Inc. on June 29, 2026, and is consistent with the terms of his offer letter, previously filed as Exhibit 10.8 to the Company’s Registration Statement on Form 10. Also on August 3, 2026, the Company granted 2026 long-term incentive awards (the “2026 LTI Awards”) under the 2026 Plan to Joshua Jepsen, Senior Vice President and Chief Financial Officer, and John Donofrio, Senior Vice President, General Counsel and Corporate Secretary, with grant date values of $4,400,000 and $2,550,000, respectively. The 2026 LTI Awards were granted in accordance with the terms of Messrs. Jepsen’s and Donofrio’s offer letters, previously filed as Exhibits 10.9 and 10.13, respectively, to the Company’s Registration Statement on Form 10. The Bridge Grant and the 2026 LTI Awards each consist of 50% nonqualified stock options and 50% restricted stock units. The 2026 Plan was previously filed as Exhibit 10.6 to the Company's Current Report on Form 8-K filed with the Securities and Exchange Commission (“SEC”) on June 29, 2026.</w:t>
      </w:r>
    </w:p>
    <w:p>
      <w:pPr>
        <w:pStyle w:val="TextBody"/>
        <w:bidi w:val="0"/>
        <w:spacing w:lineRule="auto" w:line="333" w:before="0" w:after="0"/>
        <w:jc w:val="left"/>
        <w:rPr>
          <w:rFonts w:ascii="Aptos;sans-serif" w:hAnsi="Aptos;sans-serif"/>
          <w:b w:val="false"/>
          <w:color w:val="000000"/>
          <w:sz w:val="20"/>
        </w:rPr>
      </w:pPr>
      <w:r>
        <w:rPr>
          <w:rFonts w:ascii="Aptos;sans-serif" w:hAnsi="Aptos;sans-serif"/>
          <w:b w:val="false"/>
          <w:color w:val="000000"/>
          <w:sz w:val="20"/>
        </w:rPr>
        <w:t>Forms of the restricted stock unit award agreement and nonqualified stock option award agreement governing the awards described above will be filed as exhibits to the Company's Quarterly Report on Form 10-Q for the quarter ending September 26, 2026. The foregoing description of the awards does not purport to be complete and is subject to, and will be qualified in its entirety by, reference to such agreements when filed.</w:t>
      </w:r>
    </w:p>
    <w:p>
      <w:pPr>
        <w:pStyle w:val="TextBody"/>
        <w:bidi w:val="0"/>
        <w:spacing w:before="0" w:after="0"/>
        <w:jc w:val="left"/>
        <w:rPr/>
      </w:pPr>
      <w:r>
        <w:rPr/>
      </w:r>
    </w:p>
    <w:p>
      <w:pPr>
        <w:pStyle w:val="TextBody"/>
        <w:bidi w:val="0"/>
        <w:spacing w:lineRule="auto" w:line="319" w:before="0" w:after="0"/>
        <w:jc w:val="both"/>
        <w:rPr>
          <w:rFonts w:ascii="Aptos;sans-serif" w:hAnsi="Aptos;sans-serif"/>
          <w:b/>
          <w:color w:val="000000"/>
          <w:sz w:val="20"/>
        </w:rPr>
      </w:pPr>
      <w:r>
        <w:rPr>
          <w:rFonts w:ascii="Aptos;sans-serif" w:hAnsi="Aptos;sans-serif"/>
          <w:b/>
          <w:color w:val="000000"/>
          <w:sz w:val="20"/>
        </w:rPr>
        <w:t>Item 8.01    Other Events</w:t>
      </w:r>
    </w:p>
    <w:p>
      <w:pPr>
        <w:pStyle w:val="TextBody"/>
        <w:bidi w:val="0"/>
        <w:spacing w:before="0" w:after="0"/>
        <w:jc w:val="both"/>
        <w:rPr/>
      </w:pPr>
      <w:r>
        <w:rPr/>
      </w:r>
    </w:p>
    <w:p>
      <w:pPr>
        <w:pStyle w:val="TextBody"/>
        <w:bidi w:val="0"/>
        <w:spacing w:lineRule="auto" w:line="333" w:before="0" w:after="180"/>
        <w:jc w:val="left"/>
        <w:rPr>
          <w:rFonts w:ascii="Aptos;sans-serif" w:hAnsi="Aptos;sans-serif"/>
          <w:b w:val="false"/>
          <w:color w:val="000000"/>
          <w:sz w:val="20"/>
        </w:rPr>
      </w:pPr>
      <w:r>
        <w:rPr>
          <w:rFonts w:ascii="Aptos;sans-serif" w:hAnsi="Aptos;sans-serif"/>
          <w:b w:val="false"/>
          <w:color w:val="000000"/>
          <w:sz w:val="20"/>
        </w:rPr>
        <w:t>On July 23, 2026, the Board authorized a share repurchase program (the “Share Repurchase Program”) to purchase up to $3.5 billion of the Company's common stock over an indefinite term in open market transactions, privately negotiated transactions, through accelerated share repurchase agreements, or by such other means as the Company's Chief Executive Officer and Chief Financial Officer may determine. Open-market repurchases under the Share Repurchase Program are expected to be structured to comply with the conditions of Rule 10b-18 under the Exchange Act, and the Company may from time to time adopt one or more Rule 10b5-1 trading plans to facilitate repurchases under the Share Repurchase Program. The Share Repurchase Program does not have an expiration date, and repurchases may be made from time to time based on market conditions and other considerations.</w:t>
      </w:r>
    </w:p>
    <w:p>
      <w:pPr>
        <w:pStyle w:val="TextBody"/>
        <w:bidi w:val="0"/>
        <w:spacing w:lineRule="auto" w:line="333" w:before="0" w:after="180"/>
        <w:jc w:val="left"/>
        <w:rPr>
          <w:rFonts w:ascii="Aptos;sans-serif" w:hAnsi="Aptos;sans-serif"/>
          <w:b w:val="false"/>
          <w:color w:val="000000"/>
          <w:sz w:val="20"/>
        </w:rPr>
      </w:pPr>
      <w:r>
        <w:rPr>
          <w:rFonts w:ascii="Aptos;sans-serif" w:hAnsi="Aptos;sans-serif"/>
          <w:b w:val="false"/>
          <w:color w:val="000000"/>
          <w:sz w:val="20"/>
        </w:rPr>
        <w:t xml:space="preserve">The Board authorized the Share Repurchase Program to return value to the Company's shareholders, offset dilution from the Company's equity compensation programs and manage the Company's capital structure. The timing, pricing and amount of any repurchases under the Share Repurchase Program will be determined by the Company's Chief Executive Officer and Chief Financial Officer in their discretion based on a variety of factors, including trading volume and market price of the Company's common stock, corporate considerations, the Company's financial performance, alternative uses for capital, general market and economic conditions, legal and regulatory requirements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80"/>
        <w:jc w:val="left"/>
        <w:rPr>
          <w:rFonts w:ascii="Aptos;sans-serif" w:hAnsi="Aptos;sans-serif"/>
          <w:b w:val="false"/>
          <w:color w:val="000000"/>
          <w:sz w:val="20"/>
        </w:rPr>
      </w:pPr>
      <w:r>
        <w:rPr>
          <w:rFonts w:ascii="Aptos;sans-serif" w:hAnsi="Aptos;sans-serif"/>
          <w:b w:val="false"/>
          <w:color w:val="000000"/>
          <w:sz w:val="20"/>
        </w:rPr>
        <w:t>The Share Repurchase Program may be modified, suspended or discontinued at any time without prior notice and does not obligate the Company to purchase any shares.</w:t>
      </w:r>
    </w:p>
    <w:p>
      <w:pPr>
        <w:pStyle w:val="TextBody"/>
        <w:bidi w:val="0"/>
        <w:spacing w:lineRule="auto" w:line="319" w:before="0" w:after="0"/>
        <w:jc w:val="both"/>
        <w:rPr>
          <w:rFonts w:ascii="Aptos;sans-serif" w:hAnsi="Aptos;sans-serif"/>
          <w:b/>
          <w:color w:val="000000"/>
          <w:sz w:val="20"/>
        </w:rPr>
      </w:pPr>
      <w:r>
        <w:rPr>
          <w:rFonts w:ascii="Aptos;sans-serif" w:hAnsi="Aptos;sans-serif"/>
          <w:b/>
          <w:color w:val="000000"/>
          <w:sz w:val="20"/>
        </w:rPr>
        <w:t>Forward-Looking Statements</w:t>
      </w:r>
    </w:p>
    <w:p>
      <w:pPr>
        <w:pStyle w:val="TextBody"/>
        <w:bidi w:val="0"/>
        <w:spacing w:before="0" w:after="0"/>
        <w:jc w:val="both"/>
        <w:rPr/>
      </w:pPr>
      <w:r>
        <w:rPr/>
      </w:r>
    </w:p>
    <w:p>
      <w:pPr>
        <w:pStyle w:val="TextBody"/>
        <w:bidi w:val="0"/>
        <w:spacing w:lineRule="auto" w:line="333" w:before="0" w:after="180"/>
        <w:jc w:val="left"/>
        <w:rPr>
          <w:rFonts w:ascii="Aptos;sans-serif" w:hAnsi="Aptos;sans-serif"/>
          <w:b w:val="false"/>
          <w:color w:val="000000"/>
          <w:sz w:val="20"/>
        </w:rPr>
      </w:pPr>
      <w:r>
        <w:rPr>
          <w:rFonts w:ascii="Aptos;sans-serif" w:hAnsi="Aptos;sans-serif"/>
          <w:b w:val="false"/>
          <w:color w:val="000000"/>
          <w:sz w:val="20"/>
        </w:rPr>
        <w:t>This Current Report on Form 8-K contains “forward-looking statements” within the meaning of Section 27A of the Securities Act and Section 21E of the Exchange Act, including statements relating to the Share Repurchase Program and any future repurchases thereunder. Actual actions or results may differ materially from those indicated by such forward-looking statements as a result of various factors, including those discussed in the “Risk Factors” section of the final information statement filed as part of the Company's Registration Statement on Form 10-12B, as amended (File No. 001-43173), a copy of which was furnished as Exhibit 99.1 to the Company's Current Report on Form 8-K filed with the SEC on June 15, 2026, and in the Company's other filings with the SEC. The forward-looking statements contained in this Current Report on Form 8-K speak only as of the date hereof, and the Company specifically disclaims any obligation to update these forward-looking statements, whether as a result of new information, future events or otherwise.</w:t>
      </w:r>
    </w:p>
    <w:p>
      <w:pPr>
        <w:pStyle w:val="TextBody"/>
        <w:bidi w:val="0"/>
        <w:spacing w:lineRule="auto" w:line="319" w:before="0" w:after="0"/>
        <w:jc w:val="both"/>
        <w:rPr>
          <w:rFonts w:ascii="Aptos;sans-serif" w:hAnsi="Aptos;sans-serif"/>
          <w:b/>
          <w:color w:val="000000"/>
          <w:sz w:val="20"/>
        </w:rPr>
      </w:pPr>
      <w:r>
        <w:rPr>
          <w:rFonts w:ascii="Aptos;sans-serif" w:hAnsi="Aptos;sans-serif"/>
          <w:b/>
          <w:color w:val="000000"/>
          <w:sz w:val="20"/>
        </w:rPr>
        <w:t>Item 9.01    Financial Statements and Exhibits</w:t>
      </w:r>
    </w:p>
    <w:p>
      <w:pPr>
        <w:pStyle w:val="TextBody"/>
        <w:bidi w:val="0"/>
        <w:spacing w:before="0" w:after="0"/>
        <w:jc w:val="both"/>
        <w:rPr/>
      </w:pPr>
      <w:r>
        <w:rPr/>
      </w:r>
    </w:p>
    <w:p>
      <w:pPr>
        <w:pStyle w:val="TextBody"/>
        <w:bidi w:val="0"/>
        <w:spacing w:lineRule="auto" w:line="319" w:before="0" w:after="0"/>
        <w:jc w:val="both"/>
        <w:rPr>
          <w:rFonts w:ascii="Aptos;sans-serif" w:hAnsi="Aptos;sans-serif"/>
          <w:b/>
          <w:color w:val="000000"/>
          <w:sz w:val="20"/>
        </w:rPr>
      </w:pPr>
      <w:r>
        <w:rPr>
          <w:rFonts w:ascii="Aptos;sans-serif" w:hAnsi="Aptos;sans-serif"/>
          <w:b/>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8"/>
        <w:gridCol w:w="332"/>
        <w:gridCol w:w="334"/>
        <w:gridCol w:w="109"/>
        <w:gridCol w:w="109"/>
        <w:gridCol w:w="109"/>
        <w:gridCol w:w="2587"/>
        <w:gridCol w:w="2587"/>
        <w:gridCol w:w="3660"/>
      </w:tblGrid>
      <w:tr>
        <w:trPr/>
        <w:tc>
          <w:tcPr>
            <w:tcW w:w="3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319" w:before="75" w:after="30"/>
              <w:jc w:val="center"/>
              <w:rPr>
                <w:rFonts w:ascii="Aptos;sans-serif" w:hAnsi="Aptos;sans-serif"/>
                <w:b/>
                <w:color w:val="000000"/>
                <w:sz w:val="20"/>
              </w:rPr>
            </w:pPr>
            <w:r>
              <w:rPr>
                <w:rFonts w:ascii="Aptos;sans-serif" w:hAnsi="Aptos;sans-serif"/>
                <w:b/>
                <w:color w:val="000000"/>
                <w:sz w:val="20"/>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319" w:before="75" w:after="30"/>
              <w:jc w:val="left"/>
              <w:rPr>
                <w:rFonts w:ascii="Aptos;sans-serif" w:hAnsi="Aptos;sans-serif"/>
                <w:b/>
                <w:color w:val="000000"/>
                <w:sz w:val="20"/>
              </w:rPr>
            </w:pPr>
            <w:r>
              <w:rPr>
                <w:rFonts w:ascii="Aptos;sans-serif" w:hAnsi="Aptos;sans-serif"/>
                <w:b/>
                <w:color w:val="000000"/>
                <w:sz w:val="20"/>
              </w:rPr>
              <w:t>Description</w:t>
            </w:r>
          </w:p>
        </w:tc>
      </w:tr>
      <w:tr>
        <w:trPr/>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30"/>
              <w:jc w:val="left"/>
              <w:rPr/>
            </w:pPr>
            <w:hyperlink w:anchor="exhibit991q22026earningsre.htm">
              <w:r>
                <w:rPr>
                  <w:rStyle w:val="InternetLink"/>
                  <w:rFonts w:ascii="Aptos;sans-serif" w:hAnsi="Aptos;sans-serif"/>
                  <w:b w:val="false"/>
                  <w:color w:val="0000FF"/>
                  <w:sz w:val="20"/>
                  <w:u w:val="single"/>
                </w:rPr>
                <w:t>Honeywell Aerospace Inc. Earnings Press Release dated August 5, 2026.</w:t>
              </w:r>
            </w:hyperlink>
          </w:p>
        </w:tc>
      </w:tr>
      <w:tr>
        <w:trPr/>
        <w:tc>
          <w:tcPr>
            <w:tcW w:w="1044" w:type="dxa"/>
            <w:gridSpan w:val="3"/>
            <w:tcBorders/>
            <w:tcMar>
              <w:top w:w="0" w:type="dxa"/>
              <w:left w:w="0" w:type="dxa"/>
              <w:bottom w:w="0" w:type="dxa"/>
              <w:right w:w="0" w:type="dxa"/>
            </w:tcMar>
            <w:vAlign w:val="center"/>
          </w:tcPr>
          <w:p>
            <w:pPr>
              <w:pStyle w:val="TableContents"/>
              <w:bidi w:val="0"/>
              <w:spacing w:lineRule="auto" w:line="319" w:before="75" w:after="30"/>
              <w:jc w:val="center"/>
              <w:rPr>
                <w:rFonts w:ascii="Aptos;sans-serif" w:hAnsi="Aptos;sans-serif"/>
                <w:b w:val="false"/>
                <w:color w:val="000000"/>
                <w:sz w:val="20"/>
              </w:rPr>
            </w:pPr>
            <w:r>
              <w:rPr>
                <w:rFonts w:ascii="Aptos;sans-serif" w:hAnsi="Apto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lineRule="auto" w:line="319" w:before="75" w:after="30"/>
              <w:jc w:val="left"/>
              <w:rPr>
                <w:rFonts w:ascii="Aptos;sans-serif" w:hAnsi="Aptos;sans-serif"/>
                <w:b w:val="false"/>
                <w:color w:val="000000"/>
                <w:sz w:val="20"/>
              </w:rPr>
            </w:pPr>
            <w:r>
              <w:rPr>
                <w:rFonts w:ascii="Aptos;sans-serif" w:hAnsi="Aptos;sans-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ptos;sans-serif" w:hAnsi="Aptos;sans-serif"/>
          <w:b/>
          <w:color w:val="000000"/>
          <w:sz w:val="20"/>
        </w:rPr>
      </w:pPr>
      <w:r>
        <w:rPr>
          <w:rFonts w:ascii="Aptos;sans-serif" w:hAnsi="Aptos;sans-serif"/>
          <w:b/>
          <w:color w:val="000000"/>
          <w:sz w:val="20"/>
        </w:rPr>
        <w:t>SIGNATURE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ind w:left="0" w:right="0" w:firstLine="720"/>
        <w:jc w:val="left"/>
        <w:rPr>
          <w:rFonts w:ascii="Aptos;sans-serif" w:hAnsi="Aptos;sans-serif"/>
          <w:b w:val="false"/>
          <w:color w:val="000000"/>
          <w:sz w:val="20"/>
        </w:rPr>
      </w:pPr>
      <w:r>
        <w:rPr>
          <w:rFonts w:ascii="Aptos;sans-serif" w:hAnsi="Aptos;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lineRule="auto" w:line="333" w:before="0" w:after="0"/>
        <w:jc w:val="left"/>
        <w:rPr>
          <w:color w:val="000000"/>
        </w:rPr>
      </w:pPr>
      <w:r>
        <w:rPr>
          <w:color w:val="000000"/>
        </w:rPr>
        <w:t> </w:t>
      </w:r>
    </w:p>
    <w:tbl>
      <w:tblPr>
        <w:tblW w:w="6893" w:type="dxa"/>
        <w:jc w:val="left"/>
        <w:tblInd w:w="0" w:type="dxa"/>
        <w:tblLayout w:type="fixed"/>
        <w:tblCellMar>
          <w:top w:w="28" w:type="dxa"/>
          <w:left w:w="28" w:type="dxa"/>
          <w:bottom w:w="28" w:type="dxa"/>
          <w:right w:w="28" w:type="dxa"/>
        </w:tblCellMar>
      </w:tblPr>
      <w:tblGrid>
        <w:gridCol w:w="233"/>
        <w:gridCol w:w="205"/>
        <w:gridCol w:w="207"/>
        <w:gridCol w:w="519"/>
        <w:gridCol w:w="519"/>
        <w:gridCol w:w="521"/>
        <w:gridCol w:w="109"/>
        <w:gridCol w:w="109"/>
        <w:gridCol w:w="109"/>
        <w:gridCol w:w="647"/>
        <w:gridCol w:w="647"/>
        <w:gridCol w:w="647"/>
        <w:gridCol w:w="647"/>
        <w:gridCol w:w="647"/>
        <w:gridCol w:w="649"/>
        <w:gridCol w:w="140"/>
        <w:gridCol w:w="140"/>
        <w:gridCol w:w="19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Date: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HONEYWELL AEROSPACE INC.</w:t>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88" w:before="75" w:after="30"/>
              <w:jc w:val="left"/>
              <w:rPr/>
            </w:pPr>
            <w:r>
              <w:rPr>
                <w:rFonts w:ascii="Aptos;sans-serif" w:hAnsi="Aptos;sans-serif"/>
                <w:b w:val="false"/>
                <w:color w:val="000000"/>
                <w:sz w:val="20"/>
              </w:rPr>
              <w:t>By: </w:t>
            </w:r>
            <w:r>
              <w:rPr>
                <w:rFonts w:ascii="Aptos;sans-serif" w:hAnsi="Aptos;sans-serif"/>
                <w:b w:val="false"/>
                <w:color w:val="000000"/>
                <w:sz w:val="20"/>
                <w:u w:val="single"/>
              </w:rPr>
              <w:t>/s/ John Donofrio</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John Donofrio</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Senior Vice President, General Counsel and</w:t>
              <w:br/>
              <w:t>Corporate Secretary</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right"/>
        <w:rPr>
          <w:rFonts w:ascii="Aptos;sans-serif" w:hAnsi="Aptos;sans-serif"/>
          <w:b/>
          <w:color w:val="000000"/>
          <w:sz w:val="20"/>
        </w:rPr>
      </w:pPr>
      <w:r>
        <w:rPr>
          <w:rFonts w:ascii="Aptos;sans-serif" w:hAnsi="Aptos;sans-serif"/>
          <w:b/>
          <w:color w:val="000000"/>
          <w:sz w:val="20"/>
        </w:rPr>
        <w:t>Exhibit 99.1</w:t>
      </w:r>
    </w:p>
    <w:p>
      <w:pPr>
        <w:pStyle w:val="TextBody"/>
        <w:bidi w:val="0"/>
        <w:spacing w:before="0" w:after="0"/>
        <w:jc w:val="left"/>
        <w:rPr/>
      </w:pPr>
      <w:r>
        <w:rPr/>
        <w:drawing>
          <wp:inline distT="0" distB="0" distL="0" distR="0">
            <wp:extent cx="2286000" cy="4857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286000" cy="485775"/>
                    </a:xfrm>
                    <a:prstGeom prst="rect">
                      <a:avLst/>
                    </a:prstGeom>
                  </pic:spPr>
                </pic:pic>
              </a:graphicData>
            </a:graphic>
          </wp:inline>
        </w:drawing>
      </w:r>
    </w:p>
    <w:tbl>
      <w:tblPr>
        <w:tblW w:w="7712" w:type="dxa"/>
        <w:jc w:val="left"/>
        <w:tblInd w:w="0" w:type="dxa"/>
        <w:tblLayout w:type="fixed"/>
        <w:tblCellMar>
          <w:top w:w="28" w:type="dxa"/>
          <w:left w:w="28" w:type="dxa"/>
          <w:bottom w:w="28" w:type="dxa"/>
          <w:right w:w="28" w:type="dxa"/>
        </w:tblCellMar>
      </w:tblPr>
      <w:tblGrid>
        <w:gridCol w:w="1356"/>
        <w:gridCol w:w="1195"/>
        <w:gridCol w:w="1200"/>
        <w:gridCol w:w="1160"/>
        <w:gridCol w:w="1160"/>
        <w:gridCol w:w="1641"/>
      </w:tblGrid>
      <w:tr>
        <w:trPr/>
        <w:tc>
          <w:tcPr>
            <w:tcW w:w="135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Contacts:</w:t>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ptos;sans-serif" w:hAnsi="Aptos;sans-serif"/>
                <w:b/>
                <w:color w:val="000000"/>
                <w:sz w:val="20"/>
              </w:rPr>
            </w:pPr>
            <w:r>
              <w:rPr>
                <w:rFonts w:ascii="Aptos;sans-serif" w:hAnsi="Aptos;sans-serif"/>
                <w:b/>
                <w:color w:val="000000"/>
                <w:sz w:val="20"/>
              </w:rPr>
              <w:t>Media</w:t>
            </w:r>
          </w:p>
        </w:tc>
        <w:tc>
          <w:tcPr>
            <w:tcW w:w="39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ptos;sans-serif" w:hAnsi="Aptos;sans-serif"/>
                <w:b/>
                <w:color w:val="000000"/>
                <w:sz w:val="20"/>
              </w:rPr>
            </w:pPr>
            <w:r>
              <w:rPr>
                <w:rFonts w:ascii="Aptos;sans-serif" w:hAnsi="Aptos;sans-serif"/>
                <w:b/>
                <w:color w:val="000000"/>
                <w:sz w:val="20"/>
              </w:rPr>
              <w:t>Investor Relations</w:t>
            </w:r>
          </w:p>
        </w:tc>
      </w:tr>
      <w:tr>
        <w:trPr/>
        <w:tc>
          <w:tcPr>
            <w:tcW w:w="37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Brian Grace</w:t>
            </w:r>
          </w:p>
        </w:tc>
        <w:tc>
          <w:tcPr>
            <w:tcW w:w="39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ptos;sans-serif" w:hAnsi="Aptos;sans-serif"/>
                <w:b w:val="false"/>
                <w:color w:val="000000"/>
                <w:sz w:val="20"/>
              </w:rPr>
            </w:pPr>
            <w:r>
              <w:rPr>
                <w:rFonts w:ascii="Aptos;sans-serif" w:hAnsi="Aptos;sans-serif"/>
                <w:b w:val="false"/>
                <w:color w:val="000000"/>
                <w:sz w:val="20"/>
              </w:rPr>
              <w:t>Sean Meakim</w:t>
            </w:r>
          </w:p>
        </w:tc>
      </w:tr>
      <w:tr>
        <w:trPr/>
        <w:tc>
          <w:tcPr>
            <w:tcW w:w="375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(602) 897-0205</w:t>
            </w:r>
          </w:p>
        </w:tc>
        <w:tc>
          <w:tcPr>
            <w:tcW w:w="39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(623) 223-5980</w:t>
            </w:r>
          </w:p>
        </w:tc>
      </w:tr>
      <w:tr>
        <w:trPr/>
        <w:tc>
          <w:tcPr>
            <w:tcW w:w="375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ptos;sans-serif" w:hAnsi="Aptos;sans-serif"/>
                <w:b w:val="false"/>
                <w:color w:val="000000"/>
                <w:sz w:val="20"/>
                <w:u w:val="single"/>
              </w:rPr>
            </w:pPr>
            <w:r>
              <w:rPr>
                <w:rFonts w:ascii="Aptos;sans-serif" w:hAnsi="Aptos;sans-serif"/>
                <w:b w:val="false"/>
                <w:color w:val="000000"/>
                <w:sz w:val="20"/>
                <w:u w:val="single"/>
              </w:rPr>
              <w:t>Brian.Grace@honeywellaerospace.us</w:t>
            </w:r>
          </w:p>
        </w:tc>
        <w:tc>
          <w:tcPr>
            <w:tcW w:w="39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u w:val="single"/>
              </w:rPr>
            </w:pPr>
            <w:r>
              <w:rPr>
                <w:rFonts w:ascii="Aptos;sans-serif" w:hAnsi="Aptos;sans-serif"/>
                <w:b w:val="false"/>
                <w:color w:val="000000"/>
                <w:sz w:val="20"/>
                <w:u w:val="single"/>
              </w:rPr>
              <w:t>Sean.Meakim@honeywellaerospace.us</w:t>
            </w:r>
          </w:p>
        </w:tc>
      </w:tr>
    </w:tbl>
    <w:p>
      <w:pPr>
        <w:pStyle w:val="TextBody"/>
        <w:bidi w:val="0"/>
        <w:spacing w:before="0" w:after="0"/>
        <w:jc w:val="left"/>
        <w:rPr/>
      </w:pPr>
      <w:r>
        <w:rPr/>
      </w:r>
    </w:p>
    <w:p>
      <w:pPr>
        <w:pStyle w:val="TextBody"/>
        <w:bidi w:val="0"/>
        <w:spacing w:lineRule="auto" w:line="288" w:before="0" w:after="0"/>
        <w:jc w:val="center"/>
        <w:rPr>
          <w:rFonts w:ascii="Aptos;sans-serif" w:hAnsi="Aptos;sans-serif"/>
          <w:b/>
          <w:color w:val="000000"/>
          <w:sz w:val="24"/>
        </w:rPr>
      </w:pPr>
      <w:r>
        <w:rPr>
          <w:rFonts w:ascii="Aptos;sans-serif" w:hAnsi="Aptos;sans-serif"/>
          <w:b/>
          <w:color w:val="000000"/>
          <w:sz w:val="24"/>
        </w:rPr>
        <w:t xml:space="preserve">Honeywell Aerospace reports second quarter results; </w:t>
      </w:r>
    </w:p>
    <w:p>
      <w:pPr>
        <w:pStyle w:val="TextBody"/>
        <w:bidi w:val="0"/>
        <w:spacing w:lineRule="auto" w:line="288" w:before="0" w:after="0"/>
        <w:jc w:val="center"/>
        <w:rPr>
          <w:rFonts w:ascii="Aptos;sans-serif" w:hAnsi="Aptos;sans-serif"/>
          <w:b/>
          <w:color w:val="000000"/>
          <w:sz w:val="24"/>
        </w:rPr>
      </w:pPr>
      <w:r>
        <w:rPr>
          <w:rFonts w:ascii="Aptos;sans-serif" w:hAnsi="Aptos;sans-serif"/>
          <w:b/>
          <w:color w:val="000000"/>
          <w:sz w:val="24"/>
        </w:rPr>
        <w:t>updates 2026 outlook</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Aptos;sans-serif" w:hAnsi="Aptos;sans-serif"/>
          <w:b w:val="false"/>
          <w:i/>
          <w:color w:val="000000"/>
          <w:sz w:val="20"/>
        </w:rPr>
        <w:t>Sales of $4.5 billion, reported and organic</w:t>
      </w:r>
      <w:r>
        <w:rPr>
          <w:rFonts w:ascii="Aptos;sans-serif" w:hAnsi="Aptos;sans-serif"/>
          <w:b w:val="false"/>
          <w:i/>
          <w:color w:val="000000"/>
          <w:sz w:val="13"/>
        </w:rPr>
        <w:t>1</w:t>
      </w:r>
      <w:r>
        <w:rPr>
          <w:color w:val="000000"/>
        </w:rPr>
        <w:t xml:space="preserve"> </w:t>
      </w:r>
      <w:r>
        <w:rPr>
          <w:rFonts w:ascii="Aptos;sans-serif" w:hAnsi="Aptos;sans-serif"/>
          <w:b w:val="false"/>
          <w:i/>
          <w:color w:val="000000"/>
          <w:sz w:val="20"/>
        </w:rPr>
        <w:t>sales up 5% year over year</w:t>
      </w:r>
    </w:p>
    <w:p>
      <w:pPr>
        <w:pStyle w:val="TextBody"/>
        <w:bidi w:val="0"/>
        <w:spacing w:lineRule="auto" w:line="276" w:before="0" w:after="0"/>
        <w:ind w:left="0" w:right="0" w:hanging="360"/>
        <w:jc w:val="both"/>
        <w:rPr/>
      </w:pPr>
      <w:r>
        <w:rPr>
          <w:color w:val="000000"/>
        </w:rPr>
        <w:t>•</w:t>
      </w:r>
      <w:r>
        <w:rPr>
          <w:rFonts w:ascii="Aptos;sans-serif" w:hAnsi="Aptos;sans-serif"/>
          <w:b w:val="false"/>
          <w:i/>
          <w:color w:val="000000"/>
          <w:sz w:val="20"/>
        </w:rPr>
        <w:t>Net income of $0.3 billion and adjusted EBIT</w:t>
      </w:r>
      <w:r>
        <w:rPr>
          <w:rFonts w:ascii="Aptos;sans-serif" w:hAnsi="Aptos;sans-serif"/>
          <w:b w:val="false"/>
          <w:i/>
          <w:color w:val="000000"/>
          <w:sz w:val="13"/>
        </w:rPr>
        <w:t>1</w:t>
      </w:r>
      <w:r>
        <w:rPr>
          <w:color w:val="000000"/>
        </w:rPr>
        <w:t xml:space="preserve"> </w:t>
      </w:r>
      <w:r>
        <w:rPr>
          <w:rFonts w:ascii="Aptos;sans-serif" w:hAnsi="Aptos;sans-serif"/>
          <w:b w:val="false"/>
          <w:i/>
          <w:color w:val="000000"/>
          <w:sz w:val="20"/>
        </w:rPr>
        <w:t xml:space="preserve">of $1.0 billion, excluding pro forma standalone adjustments </w:t>
      </w:r>
    </w:p>
    <w:p>
      <w:pPr>
        <w:pStyle w:val="TextBody"/>
        <w:bidi w:val="0"/>
        <w:spacing w:lineRule="auto" w:line="276" w:before="0" w:after="0"/>
        <w:ind w:left="0" w:right="0" w:hanging="360"/>
        <w:jc w:val="both"/>
        <w:rPr/>
      </w:pPr>
      <w:r>
        <w:rPr>
          <w:color w:val="000000"/>
        </w:rPr>
        <w:t>•</w:t>
      </w:r>
      <w:r>
        <w:rPr>
          <w:rFonts w:ascii="Aptos;sans-serif" w:hAnsi="Aptos;sans-serif"/>
          <w:b w:val="false"/>
          <w:i/>
          <w:color w:val="000000"/>
          <w:sz w:val="20"/>
        </w:rPr>
        <w:t>Revises full-year sales and pro forma standalone adjusted EBIT</w:t>
      </w:r>
      <w:r>
        <w:rPr>
          <w:rFonts w:ascii="Aptos;sans-serif" w:hAnsi="Aptos;sans-serif"/>
          <w:b w:val="false"/>
          <w:i/>
          <w:color w:val="000000"/>
          <w:sz w:val="13"/>
        </w:rPr>
        <w:t>1</w:t>
      </w:r>
      <w:r>
        <w:rPr>
          <w:color w:val="000000"/>
        </w:rPr>
        <w:t xml:space="preserve"> </w:t>
      </w:r>
      <w:r>
        <w:rPr>
          <w:rFonts w:ascii="Aptos;sans-serif" w:hAnsi="Aptos;sans-serif"/>
          <w:b w:val="false"/>
          <w:i/>
          <w:color w:val="000000"/>
          <w:sz w:val="20"/>
        </w:rPr>
        <w:t>guidance and issues full-year pro forma standalone adjusted earnings per share</w:t>
      </w:r>
      <w:r>
        <w:rPr>
          <w:rFonts w:ascii="Aptos;sans-serif" w:hAnsi="Aptos;sans-serif"/>
          <w:b w:val="false"/>
          <w:i/>
          <w:color w:val="000000"/>
          <w:sz w:val="13"/>
        </w:rPr>
        <w:t>1</w:t>
      </w:r>
      <w:r>
        <w:rPr>
          <w:color w:val="000000"/>
        </w:rPr>
        <w:t xml:space="preserve"> </w:t>
      </w:r>
      <w:r>
        <w:rPr>
          <w:rFonts w:ascii="Aptos;sans-serif" w:hAnsi="Aptos;sans-serif"/>
          <w:b w:val="false"/>
          <w:i/>
          <w:color w:val="000000"/>
          <w:sz w:val="20"/>
        </w:rPr>
        <w:t>guidance</w:t>
      </w:r>
    </w:p>
    <w:p>
      <w:pPr>
        <w:pStyle w:val="TextBody"/>
        <w:bidi w:val="0"/>
        <w:spacing w:lineRule="auto" w:line="276" w:before="0" w:after="0"/>
        <w:ind w:left="0" w:right="0" w:hanging="360"/>
        <w:jc w:val="both"/>
        <w:rPr/>
      </w:pPr>
      <w:r>
        <w:rPr>
          <w:color w:val="000000"/>
        </w:rPr>
        <w:t>•</w:t>
      </w:r>
      <w:r>
        <w:rPr>
          <w:rFonts w:ascii="Aptos;sans-serif" w:hAnsi="Aptos;sans-serif"/>
          <w:b w:val="false"/>
          <w:i/>
          <w:color w:val="000000"/>
          <w:sz w:val="20"/>
        </w:rPr>
        <w:t xml:space="preserve">Completed spin-off from Honeywell Technologies on June 29 </w:t>
      </w:r>
    </w:p>
    <w:p>
      <w:pPr>
        <w:pStyle w:val="TextBody"/>
        <w:bidi w:val="0"/>
        <w:spacing w:before="0" w:after="0"/>
        <w:jc w:val="left"/>
        <w:rPr/>
      </w:pPr>
      <w:r>
        <w:rPr/>
      </w:r>
    </w:p>
    <w:p>
      <w:pPr>
        <w:pStyle w:val="TextBody"/>
        <w:bidi w:val="0"/>
        <w:spacing w:lineRule="auto" w:line="288" w:before="0" w:after="0"/>
        <w:jc w:val="both"/>
        <w:rPr/>
      </w:pPr>
      <w:r>
        <w:rPr>
          <w:rFonts w:ascii="Aptos;sans-serif" w:hAnsi="Aptos;sans-serif"/>
          <w:b/>
          <w:color w:val="000000"/>
          <w:sz w:val="20"/>
        </w:rPr>
        <w:t>PHOENIX, August 5, 2026</w:t>
      </w:r>
      <w:r>
        <w:rPr>
          <w:color w:val="000000"/>
        </w:rPr>
        <w:t xml:space="preserve"> </w:t>
      </w:r>
      <w:r>
        <w:rPr>
          <w:rFonts w:ascii="Aptos;sans-serif" w:hAnsi="Aptos;sans-serif"/>
          <w:b w:val="false"/>
          <w:color w:val="000000"/>
          <w:sz w:val="20"/>
        </w:rPr>
        <w:t>-- Honeywell Aerospace (Nasdaq: HONA) today announced results for the second quarter following the completion of its spin-off from Honeywell International Inc. (“Honeywell Technologies”, Nasdaq: HON). The company also updated its full-year 2026 outlook for organic</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sales and pro forma standalone adjusted EBIT</w:t>
      </w:r>
      <w:r>
        <w:rPr>
          <w:rFonts w:ascii="Aptos;sans-serif" w:hAnsi="Aptos;sans-serif"/>
          <w:b w:val="false"/>
          <w:color w:val="000000"/>
          <w:sz w:val="13"/>
        </w:rPr>
        <w:t>1</w:t>
      </w:r>
      <w:r>
        <w:rPr>
          <w:rFonts w:ascii="Aptos;sans-serif" w:hAnsi="Aptos;sans-serif"/>
          <w:b w:val="false"/>
          <w:color w:val="000000"/>
          <w:sz w:val="20"/>
        </w:rPr>
        <w:t>, initiated full-year 2026 pro forma standalone adjusted earnings per share</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guidance, and maintained its second half 2026 free cash flow</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 xml:space="preserve">guidance range.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ptos;sans-serif" w:hAnsi="Aptos;sans-serif"/>
          <w:b w:val="false"/>
          <w:color w:val="000000"/>
          <w:sz w:val="20"/>
        </w:rPr>
        <w:t>Our successful separation marks an important milestone for Honeywell Aerospace, and we enter this next chapter with solid momentum. We delivered mid-single-digit sales growth in our final quarter as a segment of Honeywell as the significant customer demand for our mission-critical portfolio continues. Secular trends across our end markets remain strong while supply constraints limited output growth in the quarter,” said Jim Currier, Chief Executive Officer of Honeywell Aerospace. “As we establish Honeywell Aerospace as a standalone company, we will harness our increased financial flexibility and leverage our Honeywell Aerospace Operating System to drive greater innovation, more resilient output, and above market growth over time.”</w:t>
      </w:r>
    </w:p>
    <w:p>
      <w:pPr>
        <w:pStyle w:val="TextBody"/>
        <w:bidi w:val="0"/>
        <w:spacing w:before="0" w:after="0"/>
        <w:jc w:val="left"/>
        <w:rPr/>
      </w:pPr>
      <w:r>
        <w:rPr/>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Currier continued, “For the second half of 2026, we believe it is prudent to align our guidance to our supply chain’s demonstrated capabilities at the end of the second quarter. At the same time, we are taking the strategic and tactical actions necessary to position Honeywell Aerospace for accelerating growth and compelling financial performance. We are committed to delivering on the 2030 targets laid out at Investor Day in June, and we are moving with the speed and urgency required for improved performance in 2027 and beyond.”</w:t>
      </w:r>
    </w:p>
    <w:p>
      <w:pPr>
        <w:pStyle w:val="TextBody"/>
        <w:bidi w:val="0"/>
        <w:spacing w:before="0" w:after="0"/>
        <w:jc w:val="left"/>
        <w:rPr/>
      </w:pPr>
      <w:r>
        <w:rPr/>
      </w:r>
    </w:p>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Recent Honeywell Aerospace highlights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Honeywell Aerospace hosted its inaugural Investor Day in Phoenix on June 3, during which it presented its three strategic priorities for creating substantial value: expand leadership in attractive end markets, invest in differentiated technology platforms and strengthen operational capabilities to unlock further growth.</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 xml:space="preserve">The Honeywell Aerospace Operating System, with its standardized approach to decision-making, problem solving and communicating, is being rolled out across the company. </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Several critical supply chain actions are underway, including:</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Qualifying over 50 new suppliers, with 50 more expected for the second half;</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Increasing investment in supplier tooling, with planned spending up 20% in the second half versus the first half and doubling from 2025 to 2027, of which approximately 70% is going to castings; and</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Expanding the number of multi-sourced parts by more than 15% for the year.</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Year to date, the company has secured $15 billion of new wins (estimated lifetime value) highlighted by the following announcements:</w:t>
      </w:r>
    </w:p>
    <w:p>
      <w:pPr>
        <w:pStyle w:val="TextBody"/>
        <w:bidi w:val="0"/>
        <w:spacing w:lineRule="auto" w:line="288"/>
        <w:ind w:left="0" w:right="0" w:hanging="360"/>
        <w:jc w:val="both"/>
        <w:rPr/>
      </w:pPr>
      <w:r>
        <w:rPr>
          <w:color w:val="000000"/>
        </w:rPr>
        <w:t>◦</w:t>
      </w:r>
      <w:r>
        <w:rPr>
          <w:rFonts w:ascii="Aptos;sans-serif" w:hAnsi="Aptos;sans-serif"/>
          <w:b w:val="false"/>
          <w:color w:val="000000"/>
          <w:sz w:val="20"/>
        </w:rPr>
        <w:t>IndiGo has selected Honeywell Aerospace’s flagship avionics and power systems for its order of 810 new Airbus A320neo family aircraft. This agreement represents the largest new-aircraft-selectable equipment win in company history.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- 2</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The company announced that Aeromexico intends to adopt its newest and most advanced runway safety technology, known as Surface Alerts (SURF-A), across the carrier’s Boeing 737NG and 737MAX fleet of more than 100 aircraft. SURF-A is a prime example of the retrofit, modification and upgrade (RMU) growth strategy.</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Civitanavi Systems’ ARGO 4000 inertial measurement has become a preferred solution for European OEMs integrating guidance capability into missile programs, unmanned platforms, maritime vessels and land vehicles.</w:t>
      </w:r>
    </w:p>
    <w:p>
      <w:pPr>
        <w:pStyle w:val="TextBody"/>
        <w:bidi w:val="0"/>
        <w:spacing w:before="0" w:after="0"/>
        <w:jc w:val="left"/>
        <w:rPr/>
      </w:pPr>
      <w:r>
        <w:rPr/>
      </w:r>
    </w:p>
    <w:p>
      <w:pPr>
        <w:pStyle w:val="TextBody"/>
        <w:bidi w:val="0"/>
        <w:spacing w:lineRule="auto" w:line="268" w:before="0" w:after="0"/>
        <w:jc w:val="left"/>
        <w:rPr>
          <w:rFonts w:ascii="Aptos;sans-serif" w:hAnsi="Aptos;sans-serif"/>
          <w:b/>
          <w:color w:val="000000"/>
          <w:sz w:val="20"/>
        </w:rPr>
      </w:pPr>
      <w:r>
        <w:rPr>
          <w:rFonts w:ascii="Aptos;sans-serif" w:hAnsi="Aptos;sans-serif"/>
          <w:b/>
          <w:color w:val="000000"/>
          <w:sz w:val="20"/>
        </w:rPr>
        <w:t xml:space="preserve">Summary financial results </w:t>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Honeywell Aerospace sales for the second quarter increased 5% on a reported and organic¹ basis year over year. Backlog grew to $18.2 billion at quarter end, up 9% from the prior year, and trailing twelve-months orders were up 8%, led by continued strength in Defense and Space. Adjusted EBIT was down 7%, including approximately $100 million of separation-related costs and inventory obsolescence charges.</w:t>
      </w:r>
    </w:p>
    <w:p>
      <w:pPr>
        <w:pStyle w:val="TextBody"/>
        <w:bidi w:val="0"/>
        <w:spacing w:before="0" w:after="0"/>
        <w:jc w:val="left"/>
        <w:rPr/>
      </w:pPr>
      <w:r>
        <w:rPr/>
      </w:r>
    </w:p>
    <w:tbl>
      <w:tblPr>
        <w:tblW w:w="8224" w:type="dxa"/>
        <w:jc w:val="left"/>
        <w:tblInd w:w="0" w:type="dxa"/>
        <w:tblLayout w:type="fixed"/>
        <w:tblCellMar>
          <w:top w:w="28" w:type="dxa"/>
          <w:left w:w="28" w:type="dxa"/>
          <w:bottom w:w="28" w:type="dxa"/>
          <w:right w:w="28" w:type="dxa"/>
        </w:tblCellMar>
      </w:tblPr>
      <w:tblGrid>
        <w:gridCol w:w="1584"/>
        <w:gridCol w:w="1395"/>
        <w:gridCol w:w="1400"/>
        <w:gridCol w:w="109"/>
        <w:gridCol w:w="109"/>
        <w:gridCol w:w="109"/>
        <w:gridCol w:w="299"/>
        <w:gridCol w:w="299"/>
        <w:gridCol w:w="301"/>
        <w:gridCol w:w="109"/>
        <w:gridCol w:w="109"/>
        <w:gridCol w:w="109"/>
        <w:gridCol w:w="299"/>
        <w:gridCol w:w="299"/>
        <w:gridCol w:w="301"/>
        <w:gridCol w:w="109"/>
        <w:gridCol w:w="109"/>
        <w:gridCol w:w="109"/>
        <w:gridCol w:w="312"/>
        <w:gridCol w:w="312"/>
        <w:gridCol w:w="442"/>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i/>
                <w:color w:val="000000"/>
                <w:sz w:val="20"/>
              </w:rPr>
              <w:t>($ in millions, except per share amounts)</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 Change</w:t>
            </w:r>
          </w:p>
        </w:tc>
      </w:tr>
      <w:tr>
        <w:trPr/>
        <w:tc>
          <w:tcPr>
            <w:tcW w:w="437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Backlog</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$18,154</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$16,600</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9%</w:t>
            </w:r>
          </w:p>
        </w:tc>
      </w:tr>
      <w:tr>
        <w:trPr/>
        <w:tc>
          <w:tcPr>
            <w:tcW w:w="437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Sales</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$4,522</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$4,289</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5%</w:t>
            </w:r>
          </w:p>
        </w:tc>
      </w:tr>
      <w:tr>
        <w:trPr/>
        <w:tc>
          <w:tcPr>
            <w:tcW w:w="437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Net income</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$256</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$852</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(70)%</w:t>
            </w:r>
          </w:p>
        </w:tc>
      </w:tr>
      <w:tr>
        <w:trPr/>
        <w:tc>
          <w:tcPr>
            <w:tcW w:w="437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Adjusted EBIT</w:t>
            </w:r>
            <w:r>
              <w:rPr>
                <w:rFonts w:ascii="Aptos;sans-serif" w:hAnsi="Aptos;sans-serif"/>
                <w:b w:val="false"/>
                <w:color w:val="000000"/>
                <w:sz w:val="13"/>
              </w:rPr>
              <w:t>1</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$995</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$1,066</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(7)%</w:t>
            </w:r>
          </w:p>
        </w:tc>
      </w:tr>
      <w:tr>
        <w:trPr/>
        <w:tc>
          <w:tcPr>
            <w:tcW w:w="437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Earnings per share</w:t>
            </w:r>
            <w:r>
              <w:rPr>
                <w:rFonts w:ascii="Aptos;sans-serif" w:hAnsi="Aptos;sans-serif"/>
                <w:b w:val="false"/>
                <w:color w:val="000000"/>
                <w:sz w:val="13"/>
              </w:rPr>
              <w:t>2</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$0.78</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$2.66</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(71)%</w:t>
            </w:r>
          </w:p>
        </w:tc>
      </w:tr>
      <w:tr>
        <w:trPr/>
        <w:tc>
          <w:tcPr>
            <w:tcW w:w="437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Adjusted earnings per share</w:t>
            </w:r>
            <w:r>
              <w:rPr>
                <w:rFonts w:ascii="Aptos;sans-serif" w:hAnsi="Aptos;sans-serif"/>
                <w:b w:val="false"/>
                <w:color w:val="000000"/>
                <w:sz w:val="13"/>
              </w:rPr>
              <w:t>1,2</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$1.87</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$2.75</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(32)%</w:t>
            </w:r>
          </w:p>
        </w:tc>
      </w:tr>
    </w:tbl>
    <w:p>
      <w:pPr>
        <w:pStyle w:val="TextBody"/>
        <w:bidi w:val="0"/>
        <w:spacing w:lineRule="auto" w:line="288" w:before="0" w:after="0"/>
        <w:jc w:val="both"/>
        <w:rPr>
          <w:rFonts w:ascii="Aptos;sans-serif" w:hAnsi="Aptos;sans-serif"/>
          <w:b/>
          <w:color w:val="000000"/>
          <w:sz w:val="20"/>
        </w:rPr>
      </w:pPr>
      <w:r>
        <w:rPr>
          <w:rFonts w:ascii="Aptos;sans-serif" w:hAnsi="Aptos;sans-serif"/>
          <w:b/>
          <w:color w:val="000000"/>
          <w:sz w:val="20"/>
        </w:rPr>
        <w:t>End market sales</w:t>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 xml:space="preserve">Commercial Aftermarket sales of $2.0 billion grew 8% year over year, driven by broad-based demand across the installed base, including higher business aviation flight hours. Commercial Original Equipment sales were up 6% to $0.7 billion as commercial air transport shipments recoupled to increased customer build schedules. Defense and Space sales of $1.8 billion expanded 3%, as increased domestic volumes were partially offset by lower international volumes due to supply constraints and the wind-down of a restricted government program. </w:t>
      </w:r>
    </w:p>
    <w:p>
      <w:pPr>
        <w:pStyle w:val="TextBody"/>
        <w:bidi w:val="0"/>
        <w:spacing w:before="0" w:after="0"/>
        <w:jc w:val="left"/>
        <w:rPr/>
      </w:pPr>
      <w:r>
        <w:rPr/>
      </w:r>
    </w:p>
    <w:tbl>
      <w:tblPr>
        <w:tblW w:w="7085" w:type="dxa"/>
        <w:jc w:val="center"/>
        <w:tblInd w:w="0" w:type="dxa"/>
        <w:tblLayout w:type="fixed"/>
        <w:tblCellMar>
          <w:top w:w="28" w:type="dxa"/>
          <w:left w:w="28" w:type="dxa"/>
          <w:bottom w:w="28" w:type="dxa"/>
          <w:right w:w="28" w:type="dxa"/>
        </w:tblCellMar>
      </w:tblPr>
      <w:tblGrid>
        <w:gridCol w:w="1172"/>
        <w:gridCol w:w="1032"/>
        <w:gridCol w:w="1036"/>
        <w:gridCol w:w="109"/>
        <w:gridCol w:w="109"/>
        <w:gridCol w:w="109"/>
        <w:gridCol w:w="299"/>
        <w:gridCol w:w="299"/>
        <w:gridCol w:w="301"/>
        <w:gridCol w:w="109"/>
        <w:gridCol w:w="109"/>
        <w:gridCol w:w="109"/>
        <w:gridCol w:w="299"/>
        <w:gridCol w:w="299"/>
        <w:gridCol w:w="301"/>
        <w:gridCol w:w="109"/>
        <w:gridCol w:w="109"/>
        <w:gridCol w:w="109"/>
        <w:gridCol w:w="312"/>
        <w:gridCol w:w="312"/>
        <w:gridCol w:w="442"/>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66" w:before="0" w:after="0"/>
              <w:jc w:val="left"/>
              <w:rPr/>
            </w:pPr>
            <w:r>
              <w:rPr>
                <w:rFonts w:ascii="Aptos;sans-serif" w:hAnsi="Aptos;sans-serif"/>
                <w:b w:val="false"/>
                <w:i/>
                <w:color w:val="000000"/>
                <w:sz w:val="20"/>
              </w:rPr>
              <w:t>($ in millions)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ptos;sans-serif" w:hAnsi="Aptos;sans-serif"/>
                <w:b/>
                <w:color w:val="000000"/>
                <w:sz w:val="16"/>
              </w:rPr>
            </w:pPr>
            <w:r>
              <w:rPr>
                <w:rFonts w:ascii="Aptos;sans-serif" w:hAnsi="Aptos;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ptos;sans-serif" w:hAnsi="Aptos;sans-serif"/>
                <w:b/>
                <w:color w:val="000000"/>
                <w:sz w:val="16"/>
              </w:rPr>
            </w:pPr>
            <w:r>
              <w:rPr>
                <w:rFonts w:ascii="Aptos;sans-serif" w:hAnsi="Aptos;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66" w:before="0" w:after="283"/>
              <w:jc w:val="left"/>
              <w:rPr>
                <w:rFonts w:ascii="Aptos;sans-serif" w:hAnsi="Aptos;sans-serif"/>
                <w:b/>
                <w:color w:val="000000"/>
                <w:sz w:val="16"/>
              </w:rPr>
            </w:pPr>
            <w:r>
              <w:rPr>
                <w:rFonts w:ascii="Aptos;sans-serif" w:hAnsi="Aptos;sans-serif"/>
                <w:b/>
                <w:color w:val="000000"/>
                <w:sz w:val="16"/>
              </w:rPr>
              <w:t>% Change</w:t>
            </w:r>
          </w:p>
        </w:tc>
      </w:tr>
      <w:tr>
        <w:trPr/>
        <w:tc>
          <w:tcPr>
            <w:tcW w:w="3240" w:type="dxa"/>
            <w:gridSpan w:val="3"/>
            <w:tcBorders>
              <w:top w:val="single" w:sz="8" w:space="0" w:color="FF5200"/>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Commercial Original Equipment</w:t>
            </w:r>
          </w:p>
        </w:tc>
        <w:tc>
          <w:tcPr>
            <w:tcW w:w="327" w:type="dxa"/>
            <w:gridSpan w:val="3"/>
            <w:tcBorders>
              <w:top w:val="single" w:sz="8" w:space="0" w:color="FF52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5200"/>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$679</w:t>
            </w:r>
          </w:p>
        </w:tc>
        <w:tc>
          <w:tcPr>
            <w:tcW w:w="327" w:type="dxa"/>
            <w:gridSpan w:val="3"/>
            <w:tcBorders>
              <w:top w:val="single" w:sz="8" w:space="0" w:color="FF52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5200"/>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$640</w:t>
            </w:r>
          </w:p>
        </w:tc>
        <w:tc>
          <w:tcPr>
            <w:tcW w:w="327" w:type="dxa"/>
            <w:gridSpan w:val="3"/>
            <w:tcBorders>
              <w:top w:val="single" w:sz="8" w:space="0" w:color="FF52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FF5200"/>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6%</w:t>
            </w:r>
          </w:p>
        </w:tc>
      </w:tr>
      <w:tr>
        <w:trPr/>
        <w:tc>
          <w:tcPr>
            <w:tcW w:w="324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Commercial Aftermarket</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$2,026</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$1,881</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8%</w:t>
            </w:r>
          </w:p>
        </w:tc>
      </w:tr>
      <w:tr>
        <w:trPr/>
        <w:tc>
          <w:tcPr>
            <w:tcW w:w="324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Defense and Space</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6" w:before="0" w:after="0"/>
              <w:jc w:val="left"/>
              <w:rPr/>
            </w:pPr>
            <w:r>
              <w:rPr>
                <w:rFonts w:ascii="Arial;sans-serif" w:hAnsi="Arial;sans-serif"/>
                <w:b w:val="false"/>
                <w:color w:val="000000"/>
                <w:sz w:val="20"/>
              </w:rPr>
              <w:t>$</w:t>
            </w:r>
            <w:r>
              <w:rPr>
                <w:rFonts w:ascii="Aptos;sans-serif" w:hAnsi="Aptos;sans-serif"/>
                <w:b w:val="false"/>
                <w:color w:val="000000"/>
                <w:sz w:val="20"/>
              </w:rPr>
              <w:t>1,817</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$1,768</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6" w:before="0" w:after="283"/>
              <w:jc w:val="left"/>
              <w:rPr>
                <w:rFonts w:ascii="Aptos;sans-serif" w:hAnsi="Aptos;sans-serif"/>
                <w:b w:val="false"/>
                <w:color w:val="000000"/>
                <w:sz w:val="20"/>
              </w:rPr>
            </w:pPr>
            <w:r>
              <w:rPr>
                <w:rFonts w:ascii="Aptos;sans-serif" w:hAnsi="Aptos;sans-serif"/>
                <w:b w:val="false"/>
                <w:color w:val="000000"/>
                <w:sz w:val="20"/>
              </w:rPr>
              <w:t>3%</w:t>
            </w:r>
          </w:p>
        </w:tc>
      </w:tr>
    </w:tbl>
    <w:p>
      <w:pPr>
        <w:pStyle w:val="TextBody"/>
        <w:bidi w:val="0"/>
        <w:spacing w:before="0" w:after="0"/>
        <w:jc w:val="center"/>
        <w:rPr/>
      </w:pPr>
      <w:r>
        <w:rPr/>
      </w:r>
    </w:p>
    <w:p>
      <w:pPr>
        <w:pStyle w:val="TextBody"/>
        <w:bidi w:val="0"/>
        <w:spacing w:lineRule="auto" w:line="288" w:before="0" w:after="0"/>
        <w:jc w:val="both"/>
        <w:rPr>
          <w:rFonts w:ascii="Aptos;sans-serif" w:hAnsi="Aptos;sans-serif"/>
          <w:b/>
          <w:color w:val="000000"/>
          <w:sz w:val="20"/>
        </w:rPr>
      </w:pPr>
      <w:r>
        <w:rPr>
          <w:rFonts w:ascii="Aptos;sans-serif" w:hAnsi="Aptos;sans-serif"/>
          <w:b/>
          <w:color w:val="000000"/>
          <w:sz w:val="20"/>
        </w:rPr>
        <w:t>2026 outlook</w: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 xml:space="preserve">Based on second quarter results and current business trends, Honeywell Aerospace updated its prior full-year and second half guidance ranges. </w:t>
      </w:r>
    </w:p>
    <w:tbl>
      <w:tblPr>
        <w:tblW w:w="9457" w:type="dxa"/>
        <w:jc w:val="left"/>
        <w:tblInd w:w="0" w:type="dxa"/>
        <w:tblLayout w:type="fixed"/>
        <w:tblCellMar>
          <w:top w:w="28" w:type="dxa"/>
          <w:left w:w="28" w:type="dxa"/>
          <w:bottom w:w="28" w:type="dxa"/>
          <w:right w:w="28" w:type="dxa"/>
        </w:tblCellMar>
      </w:tblPr>
      <w:tblGrid>
        <w:gridCol w:w="1891"/>
        <w:gridCol w:w="1663"/>
        <w:gridCol w:w="1665"/>
        <w:gridCol w:w="109"/>
        <w:gridCol w:w="109"/>
        <w:gridCol w:w="109"/>
        <w:gridCol w:w="609"/>
        <w:gridCol w:w="609"/>
        <w:gridCol w:w="611"/>
        <w:gridCol w:w="109"/>
        <w:gridCol w:w="109"/>
        <w:gridCol w:w="109"/>
        <w:gridCol w:w="513"/>
        <w:gridCol w:w="513"/>
        <w:gridCol w:w="729"/>
      </w:tblGrid>
      <w:tr>
        <w:trPr/>
        <w:tc>
          <w:tcPr>
            <w:tcW w:w="189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Previous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Current guidance</w:t>
            </w:r>
          </w:p>
        </w:tc>
      </w:tr>
      <w:tr>
        <w:trPr/>
        <w:tc>
          <w:tcPr>
            <w:tcW w:w="521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Organic</w:t>
            </w: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growth</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7% - 9%</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4% - 5%</w:t>
            </w:r>
          </w:p>
        </w:tc>
      </w:tr>
      <w:tr>
        <w:trPr/>
        <w:tc>
          <w:tcPr>
            <w:tcW w:w="52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Pro forma standalone adjusted EBIT</w:t>
            </w:r>
            <w:r>
              <w:rPr>
                <w:rFonts w:ascii="Aptos;sans-serif" w:hAnsi="Aptos;sans-serif"/>
                <w:b w:val="false"/>
                <w:color w:val="000000"/>
                <w:sz w:val="13"/>
              </w:rPr>
              <w:t>1,3</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$4.65B - $4.75B</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$4.35B - $4.45B</w:t>
            </w:r>
          </w:p>
        </w:tc>
      </w:tr>
      <w:tr>
        <w:trPr/>
        <w:tc>
          <w:tcPr>
            <w:tcW w:w="52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0"/>
              <w:ind w:left="0" w:right="0" w:firstLine="240"/>
              <w:jc w:val="left"/>
              <w:rPr/>
            </w:pPr>
            <w:r>
              <w:rPr>
                <w:rFonts w:ascii="Aptos;sans-serif" w:hAnsi="Aptos;sans-serif"/>
                <w:b w:val="false"/>
                <w:i/>
                <w:color w:val="000000"/>
                <w:sz w:val="20"/>
              </w:rPr>
              <w:t>Year-over-year growth</w:t>
            </w:r>
            <w:r>
              <w:rPr>
                <w:rFonts w:ascii="Aptos;sans-serif" w:hAnsi="Aptos;sans-serif"/>
                <w:b w:val="false"/>
                <w:i/>
                <w:color w:val="000000"/>
                <w:sz w:val="13"/>
              </w:rPr>
              <w:t>1,3</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20"/>
              </w:rPr>
            </w:pPr>
            <w:r>
              <w:rPr>
                <w:rFonts w:ascii="Aptos;sans-serif" w:hAnsi="Aptos;sans-serif"/>
                <w:b w:val="false"/>
                <w:i/>
                <w:color w:val="000000"/>
                <w:sz w:val="20"/>
              </w:rPr>
              <w:t>7% - 10%</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20"/>
              </w:rPr>
            </w:pPr>
            <w:r>
              <w:rPr>
                <w:rFonts w:ascii="Aptos;sans-serif" w:hAnsi="Aptos;sans-serif"/>
                <w:b w:val="false"/>
                <w:i/>
                <w:color w:val="000000"/>
                <w:sz w:val="20"/>
              </w:rPr>
              <w:t>Flat - 3%</w:t>
            </w:r>
          </w:p>
        </w:tc>
      </w:tr>
      <w:tr>
        <w:trPr/>
        <w:tc>
          <w:tcPr>
            <w:tcW w:w="52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Pro forma standalone adjusted earnings per share</w:t>
            </w:r>
            <w:r>
              <w:rPr>
                <w:rFonts w:ascii="Aptos;sans-serif" w:hAnsi="Aptos;sans-serif"/>
                <w:b w:val="false"/>
                <w:color w:val="000000"/>
                <w:sz w:val="13"/>
              </w:rPr>
              <w:t>2,3</w:t>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$7.60 - $7.90</w:t>
            </w:r>
          </w:p>
        </w:tc>
      </w:tr>
      <w:tr>
        <w:trPr/>
        <w:tc>
          <w:tcPr>
            <w:tcW w:w="521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Second half free cash flow</w:t>
            </w:r>
            <w:r>
              <w:rPr>
                <w:rFonts w:ascii="Aptos;sans-serif" w:hAnsi="Aptos;sans-serif"/>
                <w:b w:val="false"/>
                <w:color w:val="000000"/>
                <w:sz w:val="13"/>
              </w:rPr>
              <w:t>1</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$1.0B - $1.5B</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$1.0B - $1.5B</w:t>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1.See additional information at the end of this release regarding non-GAAP financial measures.</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2.Earnings per share and adjusted earnings per share for all periods prior to the spin-off is calculated using 317 million common shares based on the shares of Honeywell Aerospace common stock outstanding as of the spin-off date, June 29, 2026. It is assumed there are no dilutive equity instruments as there were no equity awards of Honeywell Aerospace outstanding prior to the spin-off.</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3.Pro forma standalone adjusted EBIT, pro forma standalone adjusted EPS, and free cash flow are non-GAAP financial measures. Management cannot reliably predict or estimate, without unreasonable effort, the impact and timing on future operating results arising from items excluded from segment margin and adjusted EPS, or the timing of working capital cash flows and capital expenditures. We therefore do not present a guidance range, or a reconciliation to, the nearest GAAP financial measures of net income, EPS, or cash provided by operating activities.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- 3</w:t>
      </w:r>
    </w:p>
    <w:p>
      <w:pPr>
        <w:pStyle w:val="TextBody"/>
        <w:bidi w:val="0"/>
        <w:spacing w:lineRule="auto" w:line="276" w:before="0" w:after="180"/>
        <w:jc w:val="both"/>
        <w:rPr>
          <w:rFonts w:ascii="Aptos;sans-serif" w:hAnsi="Aptos;sans-serif"/>
          <w:b/>
          <w:color w:val="000000"/>
          <w:sz w:val="20"/>
        </w:rPr>
      </w:pPr>
      <w:r>
        <w:rPr>
          <w:rFonts w:ascii="Aptos;sans-serif" w:hAnsi="Aptos;sans-serif"/>
          <w:b/>
          <w:color w:val="000000"/>
          <w:sz w:val="20"/>
        </w:rPr>
        <w:t>Segment results</w:t>
      </w:r>
    </w:p>
    <w:p>
      <w:pPr>
        <w:pStyle w:val="TextBody"/>
        <w:bidi w:val="0"/>
        <w:spacing w:lineRule="auto" w:line="288" w:before="0" w:after="180"/>
        <w:jc w:val="both"/>
        <w:rPr/>
      </w:pPr>
      <w:r>
        <w:rPr>
          <w:rFonts w:ascii="Aptos;sans-serif" w:hAnsi="Aptos;sans-serif"/>
          <w:b/>
          <w:color w:val="000000"/>
          <w:sz w:val="20"/>
        </w:rPr>
        <w:t>Electronic Solutions</w:t>
      </w:r>
      <w:r>
        <w:rPr>
          <w:color w:val="000000"/>
        </w:rPr>
        <w:t xml:space="preserve"> </w:t>
      </w:r>
      <w:r>
        <w:rPr>
          <w:rFonts w:ascii="Aptos;sans-serif" w:hAnsi="Aptos;sans-serif"/>
          <w:b w:val="false"/>
          <w:color w:val="000000"/>
          <w:sz w:val="20"/>
        </w:rPr>
        <w:t>sales grew 8% year over year on a reported and organic basis¹, led by strength in Defense and Space and Commercial Aftermarket. Segment adjusted EBIT¹ decreased by 3% year over year as higher volumes and pricing were more than offset by unfavorable mix and higher costs.</w:t>
      </w:r>
    </w:p>
    <w:tbl>
      <w:tblPr>
        <w:tblW w:w="9183" w:type="dxa"/>
        <w:jc w:val="left"/>
        <w:tblInd w:w="0" w:type="dxa"/>
        <w:tblLayout w:type="fixed"/>
        <w:tblCellMar>
          <w:top w:w="28" w:type="dxa"/>
          <w:left w:w="28" w:type="dxa"/>
          <w:bottom w:w="28" w:type="dxa"/>
          <w:right w:w="28" w:type="dxa"/>
        </w:tblCellMar>
      </w:tblPr>
      <w:tblGrid>
        <w:gridCol w:w="1433"/>
        <w:gridCol w:w="1261"/>
        <w:gridCol w:w="1266"/>
        <w:gridCol w:w="109"/>
        <w:gridCol w:w="109"/>
        <w:gridCol w:w="109"/>
        <w:gridCol w:w="299"/>
        <w:gridCol w:w="299"/>
        <w:gridCol w:w="301"/>
        <w:gridCol w:w="109"/>
        <w:gridCol w:w="109"/>
        <w:gridCol w:w="109"/>
        <w:gridCol w:w="299"/>
        <w:gridCol w:w="299"/>
        <w:gridCol w:w="301"/>
        <w:gridCol w:w="109"/>
        <w:gridCol w:w="109"/>
        <w:gridCol w:w="109"/>
        <w:gridCol w:w="340"/>
        <w:gridCol w:w="340"/>
        <w:gridCol w:w="341"/>
        <w:gridCol w:w="109"/>
        <w:gridCol w:w="109"/>
        <w:gridCol w:w="109"/>
        <w:gridCol w:w="321"/>
        <w:gridCol w:w="321"/>
        <w:gridCol w:w="45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20"/>
              </w:rPr>
            </w:pPr>
            <w:r>
              <w:rPr>
                <w:rFonts w:ascii="Aptos;sans-serif" w:hAnsi="Aptos;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 Organic</w:t>
            </w:r>
          </w:p>
        </w:tc>
      </w:tr>
      <w:tr>
        <w:trPr/>
        <w:tc>
          <w:tcPr>
            <w:tcW w:w="396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Sales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$1,774</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$1,645</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8%</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8%</w:t>
            </w:r>
          </w:p>
        </w:tc>
      </w:tr>
      <w:tr>
        <w:trPr/>
        <w:tc>
          <w:tcPr>
            <w:tcW w:w="396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Segment profit/segment adjusted EBIT</w:t>
            </w:r>
            <w:r>
              <w:rPr>
                <w:rFonts w:ascii="Aptos;sans-serif" w:hAnsi="Aptos;sans-serif"/>
                <w:b w:val="false"/>
                <w:color w:val="000000"/>
                <w:sz w:val="13"/>
              </w:rPr>
              <w:t>1</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$459</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$475</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(3)%</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ptos;sans-serif" w:hAnsi="Aptos;sans-serif"/>
          <w:b/>
          <w:color w:val="000000"/>
          <w:sz w:val="20"/>
        </w:rPr>
        <w:t>Engines and Power Systems</w:t>
      </w:r>
      <w:r>
        <w:rPr>
          <w:color w:val="000000"/>
        </w:rPr>
        <w:t xml:space="preserve"> </w:t>
      </w:r>
      <w:r>
        <w:rPr>
          <w:rFonts w:ascii="Aptos;sans-serif" w:hAnsi="Aptos;sans-serif"/>
          <w:b w:val="false"/>
          <w:color w:val="000000"/>
          <w:sz w:val="20"/>
        </w:rPr>
        <w:t>sales increased 1% year over year on a reported and organic basis¹ with higher Commercial Original Equipment shipments offset by lower Defense and Space shipments. Segment adjusted EBIT¹ decreased 32% year over year as unfavorable mix and higher costs more than offset price.</w:t>
      </w:r>
    </w:p>
    <w:p>
      <w:pPr>
        <w:pStyle w:val="TextBody"/>
        <w:bidi w:val="0"/>
        <w:spacing w:before="0" w:after="0"/>
        <w:jc w:val="both"/>
        <w:rPr/>
      </w:pPr>
      <w:r>
        <w:rPr/>
      </w:r>
    </w:p>
    <w:tbl>
      <w:tblPr>
        <w:tblW w:w="9183" w:type="dxa"/>
        <w:jc w:val="left"/>
        <w:tblInd w:w="0" w:type="dxa"/>
        <w:tblLayout w:type="fixed"/>
        <w:tblCellMar>
          <w:top w:w="28" w:type="dxa"/>
          <w:left w:w="28" w:type="dxa"/>
          <w:bottom w:w="28" w:type="dxa"/>
          <w:right w:w="28" w:type="dxa"/>
        </w:tblCellMar>
      </w:tblPr>
      <w:tblGrid>
        <w:gridCol w:w="1433"/>
        <w:gridCol w:w="1261"/>
        <w:gridCol w:w="1266"/>
        <w:gridCol w:w="109"/>
        <w:gridCol w:w="109"/>
        <w:gridCol w:w="109"/>
        <w:gridCol w:w="299"/>
        <w:gridCol w:w="299"/>
        <w:gridCol w:w="301"/>
        <w:gridCol w:w="109"/>
        <w:gridCol w:w="109"/>
        <w:gridCol w:w="109"/>
        <w:gridCol w:w="299"/>
        <w:gridCol w:w="299"/>
        <w:gridCol w:w="301"/>
        <w:gridCol w:w="109"/>
        <w:gridCol w:w="109"/>
        <w:gridCol w:w="109"/>
        <w:gridCol w:w="340"/>
        <w:gridCol w:w="340"/>
        <w:gridCol w:w="341"/>
        <w:gridCol w:w="109"/>
        <w:gridCol w:w="109"/>
        <w:gridCol w:w="109"/>
        <w:gridCol w:w="321"/>
        <w:gridCol w:w="321"/>
        <w:gridCol w:w="45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20"/>
              </w:rPr>
            </w:pPr>
            <w:r>
              <w:rPr>
                <w:rFonts w:ascii="Aptos;sans-serif" w:hAnsi="Aptos;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 Organic</w:t>
            </w:r>
          </w:p>
        </w:tc>
      </w:tr>
      <w:tr>
        <w:trPr/>
        <w:tc>
          <w:tcPr>
            <w:tcW w:w="396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Sales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$1,406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$1,390</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w:t>
            </w:r>
          </w:p>
        </w:tc>
      </w:tr>
      <w:tr>
        <w:trPr/>
        <w:tc>
          <w:tcPr>
            <w:tcW w:w="396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Segment profit/segment adjusted EBIT</w:t>
            </w:r>
            <w:r>
              <w:rPr>
                <w:rFonts w:ascii="Aptos;sans-serif" w:hAnsi="Aptos;sans-serif"/>
                <w:b w:val="false"/>
                <w:color w:val="000000"/>
                <w:sz w:val="13"/>
              </w:rPr>
              <w:t>1</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$174</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$256</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(32)%</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Aptos;sans-serif" w:hAnsi="Aptos;sans-serif"/>
          <w:b/>
          <w:color w:val="000000"/>
          <w:sz w:val="20"/>
        </w:rPr>
        <w:t xml:space="preserve">Control Systems </w:t>
      </w:r>
      <w:r>
        <w:rPr>
          <w:rFonts w:ascii="Aptos;sans-serif" w:hAnsi="Aptos;sans-serif"/>
          <w:b w:val="false"/>
          <w:color w:val="000000"/>
          <w:sz w:val="20"/>
        </w:rPr>
        <w:t>sales increased 7% year over year on a reported and organic basis¹, led by Commercial Aftermarket. Segment adjusted EBIT¹ increased 8% year over year as price more than offset higher costs.</w:t>
      </w:r>
    </w:p>
    <w:p>
      <w:pPr>
        <w:pStyle w:val="TextBody"/>
        <w:bidi w:val="0"/>
        <w:spacing w:before="0" w:after="0"/>
        <w:jc w:val="both"/>
        <w:rPr/>
      </w:pPr>
      <w:r>
        <w:rPr/>
      </w:r>
    </w:p>
    <w:tbl>
      <w:tblPr>
        <w:tblW w:w="9183" w:type="dxa"/>
        <w:jc w:val="left"/>
        <w:tblInd w:w="0" w:type="dxa"/>
        <w:tblLayout w:type="fixed"/>
        <w:tblCellMar>
          <w:top w:w="28" w:type="dxa"/>
          <w:left w:w="28" w:type="dxa"/>
          <w:bottom w:w="28" w:type="dxa"/>
          <w:right w:w="28" w:type="dxa"/>
        </w:tblCellMar>
      </w:tblPr>
      <w:tblGrid>
        <w:gridCol w:w="1433"/>
        <w:gridCol w:w="1261"/>
        <w:gridCol w:w="1266"/>
        <w:gridCol w:w="109"/>
        <w:gridCol w:w="109"/>
        <w:gridCol w:w="109"/>
        <w:gridCol w:w="299"/>
        <w:gridCol w:w="299"/>
        <w:gridCol w:w="301"/>
        <w:gridCol w:w="109"/>
        <w:gridCol w:w="109"/>
        <w:gridCol w:w="109"/>
        <w:gridCol w:w="299"/>
        <w:gridCol w:w="299"/>
        <w:gridCol w:w="301"/>
        <w:gridCol w:w="109"/>
        <w:gridCol w:w="109"/>
        <w:gridCol w:w="109"/>
        <w:gridCol w:w="340"/>
        <w:gridCol w:w="340"/>
        <w:gridCol w:w="341"/>
        <w:gridCol w:w="109"/>
        <w:gridCol w:w="109"/>
        <w:gridCol w:w="109"/>
        <w:gridCol w:w="321"/>
        <w:gridCol w:w="321"/>
        <w:gridCol w:w="45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i/>
                <w:color w:val="000000"/>
                <w:sz w:val="20"/>
              </w:rPr>
            </w:pPr>
            <w:r>
              <w:rPr>
                <w:rFonts w:ascii="Aptos;sans-serif" w:hAnsi="Aptos;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16"/>
              </w:rPr>
            </w:pPr>
            <w:r>
              <w:rPr>
                <w:rFonts w:ascii="Aptos;sans-serif" w:hAnsi="Aptos;sans-serif"/>
                <w:b/>
                <w:color w:val="000000"/>
                <w:sz w:val="16"/>
              </w:rPr>
              <w:t>% Organic</w:t>
            </w:r>
          </w:p>
        </w:tc>
      </w:tr>
      <w:tr>
        <w:trPr/>
        <w:tc>
          <w:tcPr>
            <w:tcW w:w="396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Sales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$1,342</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$1,254</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7%</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7%</w:t>
            </w:r>
          </w:p>
        </w:tc>
      </w:tr>
      <w:tr>
        <w:trPr/>
        <w:tc>
          <w:tcPr>
            <w:tcW w:w="396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0"/>
              <w:jc w:val="left"/>
              <w:rPr/>
            </w:pPr>
            <w:r>
              <w:rPr>
                <w:rFonts w:ascii="Aptos;sans-serif" w:hAnsi="Aptos;sans-serif"/>
                <w:b w:val="false"/>
                <w:color w:val="000000"/>
                <w:sz w:val="20"/>
              </w:rPr>
              <w:t>Segment profit/segment adjusted EBIT</w:t>
            </w:r>
            <w:r>
              <w:rPr>
                <w:rFonts w:ascii="Aptos;sans-serif" w:hAnsi="Aptos;sans-serif"/>
                <w:b w:val="false"/>
                <w:color w:val="000000"/>
                <w:sz w:val="13"/>
              </w:rPr>
              <w:t>1</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$389</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$361</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val="false"/>
                <w:color w:val="000000"/>
                <w:sz w:val="20"/>
              </w:rPr>
            </w:pPr>
            <w:r>
              <w:rPr>
                <w:rFonts w:ascii="Aptos;sans-serif" w:hAnsi="Aptos;sans-serif"/>
                <w:b w:val="false"/>
                <w:color w:val="000000"/>
                <w:sz w:val="20"/>
              </w:rPr>
              <w:t>8%</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ptos;sans-serif" w:hAnsi="Aptos;sans-serif"/>
          <w:b/>
          <w:color w:val="000000"/>
          <w:sz w:val="20"/>
        </w:rPr>
      </w:pPr>
      <w:r>
        <w:rPr>
          <w:rFonts w:ascii="Aptos;sans-serif" w:hAnsi="Aptos;sans-serif"/>
          <w:b/>
          <w:color w:val="000000"/>
          <w:sz w:val="20"/>
        </w:rPr>
        <w:t>Conference call details</w:t>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Honeywell Aerospace will discuss its second quarter results and full-year 2026 guidance during an investor conference call starting at 5:00 pm EDT today. A live webcast of the investor call as well as related presentation materials will be available through the Investor Relations section of the company’s website (investor.honeywellaerospace.com). A replay of the webcast will be available for 30 days following the presentation.</w:t>
      </w:r>
    </w:p>
    <w:p>
      <w:pPr>
        <w:pStyle w:val="TextBody"/>
        <w:bidi w:val="0"/>
        <w:spacing w:before="0" w:after="0"/>
        <w:jc w:val="both"/>
        <w:rPr/>
      </w:pPr>
      <w:r>
        <w:rPr/>
      </w:r>
    </w:p>
    <w:p>
      <w:pPr>
        <w:pStyle w:val="TextBody"/>
        <w:bidi w:val="0"/>
        <w:spacing w:lineRule="auto" w:line="288" w:before="0" w:after="0"/>
        <w:jc w:val="both"/>
        <w:rPr>
          <w:rFonts w:ascii="Aptos;sans-serif" w:hAnsi="Aptos;sans-serif"/>
          <w:b/>
          <w:color w:val="000000"/>
          <w:sz w:val="18"/>
        </w:rPr>
      </w:pPr>
      <w:r>
        <w:rPr>
          <w:rFonts w:ascii="Aptos;sans-serif" w:hAnsi="Aptos;sans-serif"/>
          <w:b/>
          <w:color w:val="000000"/>
          <w:sz w:val="18"/>
        </w:rPr>
        <w:t>About Honeywell Aerospace</w:t>
      </w:r>
    </w:p>
    <w:p>
      <w:pPr>
        <w:pStyle w:val="TextBody"/>
        <w:bidi w:val="0"/>
        <w:spacing w:lineRule="auto" w:line="288" w:before="0" w:after="0"/>
        <w:jc w:val="left"/>
        <w:rPr>
          <w:rFonts w:ascii="Aptos;sans-serif" w:hAnsi="Aptos;sans-serif"/>
          <w:b w:val="false"/>
          <w:color w:val="000000"/>
          <w:sz w:val="18"/>
        </w:rPr>
      </w:pPr>
      <w:r>
        <w:rPr>
          <w:rFonts w:ascii="Aptos;sans-serif" w:hAnsi="Aptos;sans-serif"/>
          <w:b w:val="false"/>
          <w:color w:val="000000"/>
          <w:sz w:val="18"/>
        </w:rPr>
        <w:t xml:space="preserve">Honeywell Aerospace (Nasdaq: HONA) is an independent global aerospace and defense company whose critical technologies are broadly deployed on the world’s leading commercial air transport, business aviation, defense and space platforms. These integrated solutions enable safer, more efficient, and more reliable missions. Headquartered in Phoenix, Arizona, the company employs more than 36,000 people globally and supports more than 10,000 customers. With a broad portfolio spanning avionics and navigation systems, engines and power systems, and control systems for aircraft, Honeywell Aerospace combines commitment and deep engineering expertise to drive innovation and long-term value for the aerospace industry. For more information, visit www.honeywellaerospace.com or follow Honeywell Aerospace on LinkedIn. </w:t>
      </w:r>
    </w:p>
    <w:p>
      <w:pPr>
        <w:pStyle w:val="TextBody"/>
        <w:bidi w:val="0"/>
        <w:spacing w:before="0" w:after="0"/>
        <w:jc w:val="left"/>
        <w:rPr/>
      </w:pPr>
      <w:r>
        <w:rPr/>
      </w:r>
    </w:p>
    <w:p>
      <w:pPr>
        <w:pStyle w:val="TextBody"/>
        <w:bidi w:val="0"/>
        <w:spacing w:lineRule="auto" w:line="268" w:before="0" w:after="0"/>
        <w:jc w:val="left"/>
        <w:rPr>
          <w:rFonts w:ascii="Aptos;sans-serif" w:hAnsi="Aptos;sans-serif"/>
          <w:b/>
          <w:color w:val="000000"/>
          <w:sz w:val="18"/>
        </w:rPr>
      </w:pPr>
      <w:r>
        <w:rPr>
          <w:rFonts w:ascii="Aptos;sans-serif" w:hAnsi="Aptos;sans-serif"/>
          <w:b/>
          <w:color w:val="000000"/>
          <w:sz w:val="18"/>
        </w:rPr>
        <w:t xml:space="preserve">Additional information </w:t>
      </w:r>
    </w:p>
    <w:p>
      <w:pPr>
        <w:pStyle w:val="TextBody"/>
        <w:bidi w:val="0"/>
        <w:spacing w:lineRule="auto" w:line="288" w:before="0" w:after="0"/>
        <w:jc w:val="left"/>
        <w:rPr>
          <w:rFonts w:ascii="Aptos;sans-serif" w:hAnsi="Aptos;sans-serif"/>
          <w:b w:val="false"/>
          <w:color w:val="000000"/>
          <w:sz w:val="18"/>
        </w:rPr>
      </w:pPr>
      <w:r>
        <w:rPr>
          <w:rFonts w:ascii="Aptos;sans-serif" w:hAnsi="Aptos;sans-serif"/>
          <w:b w:val="false"/>
          <w:color w:val="000000"/>
          <w:sz w:val="18"/>
        </w:rPr>
        <w:t>Honeywell Aerospace uses our Investor Relations website, investor.honeywellaerospace.com,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public conference calls, and webcasts.</w:t>
      </w:r>
    </w:p>
    <w:p>
      <w:pPr>
        <w:pStyle w:val="TextBody"/>
        <w:bidi w:val="0"/>
        <w:spacing w:before="0" w:after="0"/>
        <w:jc w:val="left"/>
        <w:rPr/>
      </w:pPr>
      <w:r>
        <w:rPr/>
      </w:r>
    </w:p>
    <w:p>
      <w:pPr>
        <w:pStyle w:val="TextBody"/>
        <w:bidi w:val="0"/>
        <w:spacing w:lineRule="auto" w:line="268" w:before="0" w:after="0"/>
        <w:jc w:val="left"/>
        <w:rPr>
          <w:rFonts w:ascii="Aptos;sans-serif" w:hAnsi="Aptos;sans-serif"/>
          <w:b/>
          <w:color w:val="000000"/>
          <w:sz w:val="18"/>
        </w:rPr>
      </w:pPr>
      <w:r>
        <w:rPr>
          <w:rFonts w:ascii="Aptos;sans-serif" w:hAnsi="Aptos;sans-serif"/>
          <w:b/>
          <w:color w:val="000000"/>
          <w:sz w:val="18"/>
        </w:rPr>
        <w:t>Forward-looking statements</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We describe many of the trends and other factors that drive our business and future results in this release. These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estimates, forecasts,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w:t>
      </w:r>
    </w:p>
    <w:p>
      <w:pPr>
        <w:pStyle w:val="TextBody"/>
        <w:bidi w:val="0"/>
        <w:spacing w:before="0" w:after="0"/>
        <w:jc w:val="left"/>
        <w:rPr/>
      </w:pPr>
      <w:r>
        <w:rPr/>
      </w:r>
    </w:p>
    <w:p>
      <w:pPr>
        <w:pStyle w:val="TextBody"/>
        <w:bidi w:val="0"/>
        <w:spacing w:lineRule="auto" w:line="268"/>
        <w:jc w:val="left"/>
        <w:rPr>
          <w:rFonts w:ascii="Aptos;sans-serif" w:hAnsi="Aptos;sans-serif"/>
          <w:b w:val="false"/>
          <w:color w:val="000000"/>
          <w:sz w:val="18"/>
        </w:rPr>
      </w:pPr>
      <w:r>
        <w:rPr>
          <w:rFonts w:ascii="Aptos;sans-serif" w:hAnsi="Aptos;sans-serif"/>
          <w:b w:val="false"/>
          <w:color w:val="000000"/>
          <w:sz w:val="18"/>
        </w:rPr>
        <w:t xml:space="preserve">Forward-looking statements are not guarantees of future performance, and actual results may differ materially from those reflected in such statements. Important factors that could cause Honeywell Aerospace's actual results to differ materially from those projected in any forward-looking statements include, but are not limited to: (i) risks relating to Honeywell Aerospace's spin-off from Honeywell International Inc., including our ability to realize the anticipated benefits of operating as an independent public company; (ii) supply chain disruptions, including constraints on or changes in the price or availability of raw materials and components; (iii) our ability to successfully develop new technologies and introduce new products; (iv) our ability to compete successfully in the markets in which we operate; (v) changes in demand for our products and services, including conditions in the commercial aerospace,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- 4</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business aviation, and defense and space markets; (vi) changes in government spending and risks associated with our government contracts; and (vii) other economic, business, competitive, regulatory, geopolitical, and market factors described in our filings with the Securities and Exchange Commission ("SEC").</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These forward-looking statements should be considered in light of the information included in this release, our Registration Statement on Form 10 (File No. 001-43173), including the Information Statement dated June 15, 2026 contained therein, and our other filings with the SEC. In addition, no assurance can be given that any plan, initiative, projection, goal, commitment, expectation, or prospect set forth in this release can or will be achieved. Any forward-looking plans described herein are not final and may be modified or abandoned at any time. We do not undertake to update or revise any of our forward-looking statements, except as required by applicable securities law.</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This release contains financial measures presented on a non-GAAP basis. Honeywell Aerospace’s non-GAAP financial measures used in this release are as follows:</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 xml:space="preserve">Organic sales growth, </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Adjusted EBIT,</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Pro forma standalone adjusted EBIT,</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 xml:space="preserve">Adjusted earnings per share, </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 xml:space="preserve">Pro forma standalone adjusted earnings per share, </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Free cash flow, and</w:t>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Segment adjusted EBIT.</w:t>
      </w:r>
    </w:p>
    <w:p>
      <w:pPr>
        <w:pStyle w:val="TextBody"/>
        <w:bidi w:val="0"/>
        <w:spacing w:before="0" w:after="0"/>
        <w:jc w:val="left"/>
        <w:rPr/>
      </w:pPr>
      <w:r>
        <w:rPr/>
      </w:r>
    </w:p>
    <w:p>
      <w:pPr>
        <w:pStyle w:val="TextBody"/>
        <w:bidi w:val="0"/>
        <w:spacing w:lineRule="auto" w:line="268" w:before="0" w:after="0"/>
        <w:jc w:val="left"/>
        <w:rPr>
          <w:rFonts w:ascii="Aptos;sans-serif" w:hAnsi="Aptos;sans-serif"/>
          <w:b w:val="false"/>
          <w:color w:val="000000"/>
          <w:sz w:val="18"/>
        </w:rPr>
      </w:pPr>
      <w:r>
        <w:rPr>
          <w:rFonts w:ascii="Aptos;sans-serif" w:hAnsi="Aptos;sans-serif"/>
          <w:b w:val="false"/>
          <w:color w:val="000000"/>
          <w:sz w:val="18"/>
        </w:rPr>
        <w:t xml:space="preserve">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Refer to the Appendix attached to this release for reconciliations of non-GAAP financial measures to the most directly comparable GAAP measures.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- 5</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Combined Statements of Operations (Unaudited)</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(Dollars 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8"/>
        <w:gridCol w:w="1204"/>
        <w:gridCol w:w="1212"/>
        <w:gridCol w:w="290"/>
        <w:gridCol w:w="851"/>
        <w:gridCol w:w="131"/>
        <w:gridCol w:w="109"/>
        <w:gridCol w:w="109"/>
        <w:gridCol w:w="109"/>
        <w:gridCol w:w="290"/>
        <w:gridCol w:w="851"/>
        <w:gridCol w:w="131"/>
        <w:gridCol w:w="109"/>
        <w:gridCol w:w="109"/>
        <w:gridCol w:w="109"/>
        <w:gridCol w:w="290"/>
        <w:gridCol w:w="851"/>
        <w:gridCol w:w="131"/>
        <w:gridCol w:w="109"/>
        <w:gridCol w:w="109"/>
        <w:gridCol w:w="109"/>
        <w:gridCol w:w="276"/>
        <w:gridCol w:w="894"/>
        <w:gridCol w:w="184"/>
      </w:tblGrid>
      <w:tr>
        <w:trPr/>
        <w:tc>
          <w:tcPr>
            <w:tcW w:w="163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June 28, 2025</w:t>
            </w:r>
          </w:p>
        </w:tc>
      </w:tr>
      <w:tr>
        <w:trPr/>
        <w:tc>
          <w:tcPr>
            <w:tcW w:w="40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Product sales</w:t>
            </w:r>
          </w:p>
        </w:tc>
        <w:tc>
          <w:tcPr>
            <w:tcW w:w="2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2,611 </w:t>
            </w:r>
          </w:p>
        </w:tc>
        <w:tc>
          <w:tcPr>
            <w:tcW w:w="13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2,425 </w:t>
            </w:r>
          </w:p>
        </w:tc>
        <w:tc>
          <w:tcPr>
            <w:tcW w:w="13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5,033 </w:t>
            </w:r>
          </w:p>
        </w:tc>
        <w:tc>
          <w:tcPr>
            <w:tcW w:w="13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9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4,658 </w:t>
            </w:r>
          </w:p>
        </w:tc>
        <w:tc>
          <w:tcPr>
            <w:tcW w:w="184"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Service sales</w:t>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1,911 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1,864 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3,841 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3,705 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sales</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4,522</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4,289</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8,874</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8,363</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Costs, expenses and other</w:t>
            </w:r>
          </w:p>
        </w:tc>
        <w:tc>
          <w:tcPr>
            <w:tcW w:w="127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Cost of products sold</w:t>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1,988 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1,837 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3,820 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3,472 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Cost of services sold</w:t>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953 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1,843 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1,804 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cost of products and services sold</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2,941</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2,725</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5,663</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5,276</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Research and development expenses</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183 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167 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370 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334 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Selling, general and administrative expenses</w:t>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722 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383 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1,286 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748 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expense, net</w:t>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72 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Interest and other financial charges</w:t>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229 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costs, expenses and other</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4,144</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3,289</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7,696</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6,430</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Income before taxes</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378</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1,000</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1,178</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1,933</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Income tax expense</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122 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148 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280 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295 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income</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256</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852</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898</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1,638</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Net income attributable to noncontrolling interests</w:t>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54"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income attributable to Aerospace</w:t>
            </w:r>
          </w:p>
        </w:tc>
        <w:tc>
          <w:tcPr>
            <w:tcW w:w="2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246</w:t>
            </w:r>
            <w:r>
              <w:rPr>
                <w:color w:val="000000"/>
              </w:rPr>
              <w:t> </w:t>
            </w:r>
          </w:p>
        </w:tc>
        <w:tc>
          <w:tcPr>
            <w:tcW w:w="1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844</w:t>
            </w:r>
            <w:r>
              <w:rPr>
                <w:color w:val="000000"/>
              </w:rPr>
              <w:t> </w:t>
            </w:r>
          </w:p>
        </w:tc>
        <w:tc>
          <w:tcPr>
            <w:tcW w:w="1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880</w:t>
            </w:r>
            <w:r>
              <w:rPr>
                <w:color w:val="000000"/>
              </w:rPr>
              <w:t> </w:t>
            </w:r>
          </w:p>
        </w:tc>
        <w:tc>
          <w:tcPr>
            <w:tcW w:w="1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1,621</w:t>
            </w:r>
            <w:r>
              <w:rPr>
                <w:color w:val="000000"/>
              </w:rPr>
              <w:t> </w:t>
            </w:r>
          </w:p>
        </w:tc>
        <w:tc>
          <w:tcPr>
            <w:tcW w:w="18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- 6</w:t>
      </w:r>
    </w:p>
    <w:p>
      <w:pPr>
        <w:pStyle w:val="TextBody"/>
        <w:bidi w:val="0"/>
        <w:spacing w:lineRule="auto" w:line="276"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Combined Balance Sheets (Unaudited)</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2360"/>
        <w:gridCol w:w="2072"/>
        <w:gridCol w:w="2082"/>
        <w:gridCol w:w="267"/>
        <w:gridCol w:w="1018"/>
        <w:gridCol w:w="120"/>
        <w:gridCol w:w="109"/>
        <w:gridCol w:w="109"/>
        <w:gridCol w:w="109"/>
        <w:gridCol w:w="359"/>
        <w:gridCol w:w="1366"/>
        <w:gridCol w:w="234"/>
      </w:tblGrid>
      <w:tr>
        <w:trPr/>
        <w:tc>
          <w:tcPr>
            <w:tcW w:w="2360"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December 31, 2025</w:t>
            </w:r>
          </w:p>
        </w:tc>
      </w:tr>
      <w:tr>
        <w:trPr/>
        <w:tc>
          <w:tcPr>
            <w:tcW w:w="651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ASSETS</w:t>
            </w:r>
          </w:p>
        </w:tc>
        <w:tc>
          <w:tcPr>
            <w:tcW w:w="1405"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FF44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Current assets:</w:t>
            </w:r>
          </w:p>
        </w:tc>
        <w:tc>
          <w:tcPr>
            <w:tcW w:w="140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BFBFBF"/>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Cash and cash equivalents</w:t>
            </w:r>
          </w:p>
        </w:tc>
        <w:tc>
          <w:tcPr>
            <w:tcW w:w="267"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18"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1,057 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366"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213 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Accounts receivable, less allowances of $40 and $33, respectively</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2,462 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2,156 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Inventories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4,466 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4,311 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Current contract assets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1,412 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1,366 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current assets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446 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344 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current assets</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9,843</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8,390</w:t>
            </w:r>
            <w:r>
              <w:rPr>
                <w:color w:val="000000"/>
              </w:rPr>
              <w:t>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Property, plant and equipment, net</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2,250 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2,101 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Goodwill</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3,014 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3,025 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intangible assets, net</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2,200 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2,177 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Deferred tax assets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381 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412 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 xml:space="preserve">Other assets </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1,683 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1,580 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color w:val="000000"/>
                <w:sz w:val="20"/>
              </w:rPr>
            </w:pPr>
            <w:r>
              <w:rPr>
                <w:rFonts w:ascii="Aptos;sans-serif" w:hAnsi="Aptos;sans-serif"/>
                <w:b/>
                <w:color w:val="000000"/>
                <w:sz w:val="20"/>
              </w:rPr>
              <w:t>Total assets</w:t>
            </w:r>
          </w:p>
        </w:tc>
        <w:tc>
          <w:tcPr>
            <w:tcW w:w="267"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18"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19,371</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36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17,685</w:t>
            </w:r>
            <w:r>
              <w:rPr>
                <w:color w:val="000000"/>
              </w:rPr>
              <w:t>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LIABILITIES</w:t>
            </w:r>
          </w:p>
        </w:tc>
        <w:tc>
          <w:tcPr>
            <w:tcW w:w="140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Current liabilities:</w:t>
            </w:r>
          </w:p>
        </w:tc>
        <w:tc>
          <w:tcPr>
            <w:tcW w:w="140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Accounts payable</w:t>
            </w:r>
          </w:p>
        </w:tc>
        <w:tc>
          <w:tcPr>
            <w:tcW w:w="267"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18"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2,793 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366"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2,883 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Current contract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1,595 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1,589 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Accrued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2,063 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2,105 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current liabilities</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6,451</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6,577</w:t>
            </w:r>
            <w:r>
              <w:rPr>
                <w:color w:val="000000"/>
              </w:rPr>
              <w:t>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Long-term debt</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15,849 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1,107 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1,091 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1,517 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liabilities</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24,994</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9,189</w:t>
            </w:r>
            <w:r>
              <w:rPr>
                <w:color w:val="000000"/>
              </w:rPr>
              <w:t>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EQUITY</w:t>
            </w:r>
          </w:p>
        </w:tc>
        <w:tc>
          <w:tcPr>
            <w:tcW w:w="140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r>
      <w:tr>
        <w:trPr/>
        <w:tc>
          <w:tcPr>
            <w:tcW w:w="6514"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jc w:val="left"/>
              <w:rPr>
                <w:sz w:val="4"/>
                <w:szCs w:val="4"/>
              </w:rPr>
            </w:pPr>
            <w:r>
              <w:rPr>
                <w:sz w:val="4"/>
                <w:szCs w:val="4"/>
              </w:rPr>
            </w:r>
          </w:p>
        </w:tc>
      </w:tr>
      <w:tr>
        <w:trPr/>
        <w:tc>
          <w:tcPr>
            <w:tcW w:w="6514"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Parent investment</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(5,487)</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8,609 </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Accumulated other comprehensive loss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w:t>
            </w:r>
          </w:p>
        </w:tc>
        <w:tc>
          <w:tcPr>
            <w:tcW w:w="23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(deficit) equity attributable to Aerospace</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(5,697)</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8,399</w:t>
            </w:r>
            <w:r>
              <w:rPr>
                <w:color w:val="000000"/>
              </w:rPr>
              <w:t>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Noncontrolling interests</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74 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97 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(deficit) equity</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(5,623)</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8,496</w:t>
            </w:r>
            <w:r>
              <w:rPr>
                <w:color w:val="000000"/>
              </w:rPr>
              <w:t> </w:t>
            </w:r>
          </w:p>
        </w:tc>
        <w:tc>
          <w:tcPr>
            <w:tcW w:w="23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4"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liabilities and (deficit) equity</w:t>
            </w:r>
            <w:r>
              <w:rPr>
                <w:color w:val="000000"/>
              </w:rPr>
              <w:t xml:space="preserve"> </w:t>
            </w:r>
          </w:p>
        </w:tc>
        <w:tc>
          <w:tcPr>
            <w:tcW w:w="26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1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19,371</w:t>
            </w:r>
            <w:r>
              <w:rPr>
                <w:color w:val="000000"/>
              </w:rPr>
              <w:t> </w:t>
            </w:r>
          </w:p>
        </w:tc>
        <w:tc>
          <w:tcPr>
            <w:tcW w:w="12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3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17,685</w:t>
            </w:r>
            <w:r>
              <w:rPr>
                <w:color w:val="000000"/>
              </w:rPr>
              <w:t> </w:t>
            </w:r>
          </w:p>
        </w:tc>
        <w:tc>
          <w:tcPr>
            <w:tcW w:w="23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- 7</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Combined Statements of Cash Flows (Unaudited)</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(Dollars in millions)</w:t>
      </w:r>
    </w:p>
    <w:tbl>
      <w:tblPr>
        <w:tblW w:w="10205" w:type="dxa"/>
        <w:jc w:val="center"/>
        <w:tblInd w:w="0" w:type="dxa"/>
        <w:tblLayout w:type="fixed"/>
        <w:tblCellMar>
          <w:top w:w="28" w:type="dxa"/>
          <w:left w:w="28" w:type="dxa"/>
          <w:bottom w:w="28" w:type="dxa"/>
          <w:right w:w="28" w:type="dxa"/>
        </w:tblCellMar>
      </w:tblPr>
      <w:tblGrid>
        <w:gridCol w:w="1601"/>
        <w:gridCol w:w="1362"/>
        <w:gridCol w:w="1368"/>
        <w:gridCol w:w="266"/>
        <w:gridCol w:w="864"/>
        <w:gridCol w:w="120"/>
        <w:gridCol w:w="109"/>
        <w:gridCol w:w="109"/>
        <w:gridCol w:w="109"/>
        <w:gridCol w:w="296"/>
        <w:gridCol w:w="702"/>
        <w:gridCol w:w="133"/>
        <w:gridCol w:w="109"/>
        <w:gridCol w:w="109"/>
        <w:gridCol w:w="109"/>
        <w:gridCol w:w="266"/>
        <w:gridCol w:w="864"/>
        <w:gridCol w:w="120"/>
        <w:gridCol w:w="109"/>
        <w:gridCol w:w="109"/>
        <w:gridCol w:w="109"/>
        <w:gridCol w:w="274"/>
        <w:gridCol w:w="804"/>
        <w:gridCol w:w="184"/>
      </w:tblGrid>
      <w:tr>
        <w:trPr/>
        <w:tc>
          <w:tcPr>
            <w:tcW w:w="160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4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43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CASH FLOWS FROM OPERATING ACTIVITIES:</w:t>
            </w:r>
          </w:p>
        </w:tc>
        <w:tc>
          <w:tcPr>
            <w:tcW w:w="125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 xml:space="preserve">Net income </w:t>
            </w:r>
          </w:p>
        </w:tc>
        <w:tc>
          <w:tcPr>
            <w:tcW w:w="266"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64"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256 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02"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852 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64"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898 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04"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1,638 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Adjustments to reconcile net income to net cash provided by operating activities</w:t>
            </w:r>
          </w:p>
        </w:tc>
        <w:tc>
          <w:tcPr>
            <w:tcW w:w="125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Depreciation</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70 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145 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134 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Amortization</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40 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78 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Stock compensation expense</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46 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Deferred income taxes</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(68)</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(129)</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(54)</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Changes in assets and liabilities</w:t>
            </w:r>
          </w:p>
        </w:tc>
        <w:tc>
          <w:tcPr>
            <w:tcW w:w="125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Accounts receivable</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(311)</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(365)</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(211)</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Inventories</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(31)</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(165)</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(267)</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assets</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42 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(48)</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assets</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(90)</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(85)</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Accounts payable</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114 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113 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(133)</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(70)</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liabilities</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(81)</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liabilities</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432 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(68)</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(147)</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cash provided by operating activities</w:t>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571</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748</w:t>
            </w:r>
            <w:r>
              <w:rPr>
                <w:color w:val="000000"/>
              </w:rPr>
              <w:t> </w:t>
            </w:r>
          </w:p>
        </w:tc>
        <w:tc>
          <w:tcPr>
            <w:tcW w:w="13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346</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1,025</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CASH FLOWS FROM INVESTING ACTIVITIES:</w:t>
            </w:r>
          </w:p>
        </w:tc>
        <w:tc>
          <w:tcPr>
            <w:tcW w:w="125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Capital expenditures</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(123)</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(133)</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(260)</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(234)</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Increase in investments, net</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Amounts advanced for related party loans receivable</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Repayments received from related party loans receivable</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51 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51 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Net cash used for investing activities</w:t>
            </w:r>
            <w:r>
              <w:rPr>
                <w:color w:val="000000"/>
              </w:rPr>
              <w:t xml:space="preserve"> </w:t>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(79)</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(134)</w:t>
            </w:r>
          </w:p>
        </w:tc>
        <w:tc>
          <w:tcPr>
            <w:tcW w:w="13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(221)</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(242)</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CASH FLOWS FROM FINANCING ACTIVITIES:</w:t>
            </w:r>
          </w:p>
        </w:tc>
        <w:tc>
          <w:tcPr>
            <w:tcW w:w="125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Proceeds from issuance of long-term debt</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15,843 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transfers (to) from Parent</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(292)</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(622)</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(15,087)</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(602)</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(111)</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w:t>
            </w:r>
          </w:p>
        </w:tc>
        <w:tc>
          <w:tcPr>
            <w:tcW w:w="1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w:t>
            </w:r>
          </w:p>
        </w:tc>
        <w:tc>
          <w:tcPr>
            <w:tcW w:w="18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Net cash (used for) provided by financing activities</w:t>
            </w:r>
            <w:r>
              <w:rPr>
                <w:color w:val="000000"/>
              </w:rPr>
              <w:t xml:space="preserve"> </w:t>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(403)</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(645)</w:t>
            </w:r>
          </w:p>
        </w:tc>
        <w:tc>
          <w:tcPr>
            <w:tcW w:w="13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744</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(627)</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Effect of foreign exchange rate changes on cash and cash equivalents</w:t>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19 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Net increase (decrease) in cash and cash equivalents</w:t>
            </w:r>
            <w:r>
              <w:rPr>
                <w:color w:val="000000"/>
              </w:rPr>
              <w:t xml:space="preserve"> </w:t>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68</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(18)</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844</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175</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Cash and cash equivalents at beginning of period</w:t>
            </w:r>
            <w:r>
              <w:rPr>
                <w:color w:val="000000"/>
              </w:rPr>
              <w:t xml:space="preserve"> </w:t>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989</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437</w:t>
            </w:r>
            <w:r>
              <w:rPr>
                <w:color w:val="000000"/>
              </w:rPr>
              <w:t> </w:t>
            </w:r>
          </w:p>
        </w:tc>
        <w:tc>
          <w:tcPr>
            <w:tcW w:w="13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213</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244</w:t>
            </w:r>
            <w:r>
              <w:rPr>
                <w:color w:val="000000"/>
              </w:rPr>
              <w:t> </w:t>
            </w:r>
          </w:p>
        </w:tc>
        <w:tc>
          <w:tcPr>
            <w:tcW w:w="18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color w:val="000000"/>
                <w:sz w:val="20"/>
              </w:rPr>
              <w:t>Cash and cash equivalents at end of period</w:t>
            </w:r>
            <w:r>
              <w:rPr>
                <w:color w:val="000000"/>
              </w:rPr>
              <w:t xml:space="preserve"> </w:t>
            </w:r>
          </w:p>
        </w:tc>
        <w:tc>
          <w:tcPr>
            <w:tcW w:w="2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6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1,057</w:t>
            </w:r>
            <w:r>
              <w:rPr>
                <w:color w:val="000000"/>
              </w:rPr>
              <w:t> </w:t>
            </w:r>
          </w:p>
        </w:tc>
        <w:tc>
          <w:tcPr>
            <w:tcW w:w="12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0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419</w:t>
            </w:r>
            <w:r>
              <w:rPr>
                <w:color w:val="000000"/>
              </w:rPr>
              <w:t> </w:t>
            </w:r>
          </w:p>
        </w:tc>
        <w:tc>
          <w:tcPr>
            <w:tcW w:w="13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6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1,057</w:t>
            </w:r>
            <w:r>
              <w:rPr>
                <w:color w:val="000000"/>
              </w:rPr>
              <w:t> </w:t>
            </w:r>
          </w:p>
        </w:tc>
        <w:tc>
          <w:tcPr>
            <w:tcW w:w="12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0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419</w:t>
            </w:r>
            <w:r>
              <w:rPr>
                <w:color w:val="000000"/>
              </w:rPr>
              <w:t> </w:t>
            </w:r>
          </w:p>
        </w:tc>
        <w:tc>
          <w:tcPr>
            <w:tcW w:w="18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- 8</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Segment Data (Unaudited)</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(Dollars in millions)</w:t>
      </w:r>
    </w:p>
    <w:p>
      <w:pPr>
        <w:pStyle w:val="TextBody"/>
        <w:bidi w:val="0"/>
        <w:spacing w:before="0" w:after="0"/>
        <w:jc w:val="center"/>
        <w:rPr/>
      </w:pPr>
      <w:r>
        <w:rPr/>
      </w:r>
    </w:p>
    <w:tbl>
      <w:tblPr>
        <w:tblW w:w="9316" w:type="dxa"/>
        <w:jc w:val="left"/>
        <w:tblInd w:w="0" w:type="dxa"/>
        <w:tblLayout w:type="fixed"/>
        <w:tblCellMar>
          <w:top w:w="28" w:type="dxa"/>
          <w:left w:w="28" w:type="dxa"/>
          <w:bottom w:w="28" w:type="dxa"/>
          <w:right w:w="28" w:type="dxa"/>
        </w:tblCellMar>
      </w:tblPr>
      <w:tblGrid>
        <w:gridCol w:w="960"/>
        <w:gridCol w:w="846"/>
        <w:gridCol w:w="848"/>
        <w:gridCol w:w="300"/>
        <w:gridCol w:w="974"/>
        <w:gridCol w:w="135"/>
        <w:gridCol w:w="109"/>
        <w:gridCol w:w="109"/>
        <w:gridCol w:w="109"/>
        <w:gridCol w:w="300"/>
        <w:gridCol w:w="974"/>
        <w:gridCol w:w="135"/>
        <w:gridCol w:w="109"/>
        <w:gridCol w:w="109"/>
        <w:gridCol w:w="109"/>
        <w:gridCol w:w="300"/>
        <w:gridCol w:w="974"/>
        <w:gridCol w:w="135"/>
        <w:gridCol w:w="109"/>
        <w:gridCol w:w="109"/>
        <w:gridCol w:w="109"/>
        <w:gridCol w:w="298"/>
        <w:gridCol w:w="966"/>
        <w:gridCol w:w="190"/>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Six Months Ended</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sales</w:t>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June 28, 2025</w:t>
            </w:r>
          </w:p>
        </w:tc>
      </w:tr>
      <w:tr>
        <w:trPr/>
        <w:tc>
          <w:tcPr>
            <w:tcW w:w="26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Electronic Solutions</w:t>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1,774 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1,645 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3,515 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6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3,195 </w:t>
            </w:r>
          </w:p>
        </w:tc>
        <w:tc>
          <w:tcPr>
            <w:tcW w:w="190"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Engines &amp; Power Systems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1,406 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1,390 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2,826 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2,664 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Control Systems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1,342 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1,254 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2,533 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2,504 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Net sales</w:t>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4,522</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4,289</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8,874</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8,363</w:t>
            </w:r>
            <w:r>
              <w:rPr>
                <w:color w:val="000000"/>
              </w:rPr>
              <w:t> </w:t>
            </w:r>
          </w:p>
        </w:tc>
        <w:tc>
          <w:tcPr>
            <w:tcW w:w="1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center"/>
        <w:rPr>
          <w:rFonts w:ascii="Aptos;sans-serif" w:hAnsi="Aptos;sans-serif"/>
          <w:b/>
          <w:color w:val="000000"/>
          <w:sz w:val="20"/>
        </w:rPr>
      </w:pPr>
      <w:r>
        <w:rPr>
          <w:rFonts w:ascii="Aptos;sans-serif" w:hAnsi="Aptos;sans-serif"/>
          <w:b/>
          <w:color w:val="000000"/>
          <w:sz w:val="20"/>
        </w:rPr>
        <w:t>Reconciliation of Segment Profit to Income Before Taxes</w:t>
      </w:r>
    </w:p>
    <w:tbl>
      <w:tblPr>
        <w:tblW w:w="10205" w:type="dxa"/>
        <w:jc w:val="center"/>
        <w:tblInd w:w="0" w:type="dxa"/>
        <w:tblLayout w:type="fixed"/>
        <w:tblCellMar>
          <w:top w:w="28" w:type="dxa"/>
          <w:left w:w="28" w:type="dxa"/>
          <w:bottom w:w="28" w:type="dxa"/>
          <w:right w:w="28" w:type="dxa"/>
        </w:tblCellMar>
      </w:tblPr>
      <w:tblGrid>
        <w:gridCol w:w="1508"/>
        <w:gridCol w:w="1217"/>
        <w:gridCol w:w="1188"/>
        <w:gridCol w:w="332"/>
        <w:gridCol w:w="788"/>
        <w:gridCol w:w="149"/>
        <w:gridCol w:w="109"/>
        <w:gridCol w:w="109"/>
        <w:gridCol w:w="109"/>
        <w:gridCol w:w="283"/>
        <w:gridCol w:w="919"/>
        <w:gridCol w:w="127"/>
        <w:gridCol w:w="109"/>
        <w:gridCol w:w="109"/>
        <w:gridCol w:w="109"/>
        <w:gridCol w:w="283"/>
        <w:gridCol w:w="919"/>
        <w:gridCol w:w="127"/>
        <w:gridCol w:w="109"/>
        <w:gridCol w:w="109"/>
        <w:gridCol w:w="109"/>
        <w:gridCol w:w="281"/>
        <w:gridCol w:w="913"/>
        <w:gridCol w:w="190"/>
      </w:tblGrid>
      <w:tr>
        <w:trPr/>
        <w:tc>
          <w:tcPr>
            <w:tcW w:w="150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Segment profit</w:t>
            </w:r>
          </w:p>
        </w:tc>
        <w:tc>
          <w:tcPr>
            <w:tcW w:w="126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June 28, 2025</w:t>
            </w:r>
          </w:p>
        </w:tc>
      </w:tr>
      <w:tr>
        <w:trPr/>
        <w:tc>
          <w:tcPr>
            <w:tcW w:w="3913"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Electronic Solutions</w:t>
            </w:r>
          </w:p>
        </w:tc>
        <w:tc>
          <w:tcPr>
            <w:tcW w:w="33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459 </w:t>
            </w:r>
          </w:p>
        </w:tc>
        <w:tc>
          <w:tcPr>
            <w:tcW w:w="14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1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475 </w:t>
            </w:r>
          </w:p>
        </w:tc>
        <w:tc>
          <w:tcPr>
            <w:tcW w:w="127"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1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969 </w:t>
            </w:r>
          </w:p>
        </w:tc>
        <w:tc>
          <w:tcPr>
            <w:tcW w:w="127"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1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885 </w:t>
            </w:r>
          </w:p>
        </w:tc>
        <w:tc>
          <w:tcPr>
            <w:tcW w:w="190"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Engines &amp; Power Systems</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174 </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256 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455 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449 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Control Systems</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389 </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361 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716 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808 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Corporate and All Other</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(50)</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13"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Segment profit</w:t>
            </w:r>
          </w:p>
        </w:tc>
        <w:tc>
          <w:tcPr>
            <w:tcW w:w="112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995</w:t>
            </w:r>
            <w:r>
              <w:rPr>
                <w:color w:val="000000"/>
              </w:rPr>
              <w:t> </w:t>
            </w:r>
          </w:p>
        </w:tc>
        <w:tc>
          <w:tcPr>
            <w:tcW w:w="14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1,066</w:t>
            </w:r>
            <w:r>
              <w:rPr>
                <w:color w:val="000000"/>
              </w:rPr>
              <w:t> </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2,090</w:t>
            </w:r>
            <w:r>
              <w:rPr>
                <w:color w:val="000000"/>
              </w:rPr>
              <w:t> </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2,106</w:t>
            </w:r>
            <w:r>
              <w:rPr>
                <w:color w:val="000000"/>
              </w:rPr>
              <w:t> </w:t>
            </w:r>
          </w:p>
        </w:tc>
        <w:tc>
          <w:tcPr>
            <w:tcW w:w="1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Amortization of acquisition-related intangibles</w:t>
            </w:r>
            <w:r>
              <w:rPr>
                <w:rFonts w:ascii="Aptos;sans-serif" w:hAnsi="Aptos;sans-serif"/>
                <w:b w:val="false"/>
                <w:color w:val="000000"/>
                <w:sz w:val="13"/>
              </w:rPr>
              <w:t>1</w:t>
            </w:r>
          </w:p>
        </w:tc>
        <w:tc>
          <w:tcPr>
            <w:tcW w:w="112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w:t>
            </w:r>
          </w:p>
        </w:tc>
        <w:tc>
          <w:tcPr>
            <w:tcW w:w="14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w:t>
            </w:r>
          </w:p>
        </w:tc>
        <w:tc>
          <w:tcPr>
            <w:tcW w:w="1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Stock compensation expense</w:t>
            </w:r>
            <w:r>
              <w:rPr>
                <w:rFonts w:ascii="Aptos;sans-serif" w:hAnsi="Aptos;sans-serif"/>
                <w:b w:val="false"/>
                <w:color w:val="000000"/>
                <w:sz w:val="13"/>
              </w:rPr>
              <w:t>2</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(46)</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Transaction costs</w:t>
            </w:r>
            <w:r>
              <w:rPr>
                <w:rFonts w:ascii="Aptos;sans-serif" w:hAnsi="Aptos;sans-serif"/>
                <w:b w:val="false"/>
                <w:color w:val="000000"/>
                <w:sz w:val="13"/>
              </w:rPr>
              <w:t>3</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(329)</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(522)</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Environmental expenses</w:t>
            </w:r>
            <w:r>
              <w:rPr>
                <w:rFonts w:ascii="Aptos;sans-serif" w:hAnsi="Aptos;sans-serif"/>
                <w:b w:val="false"/>
                <w:color w:val="000000"/>
                <w:sz w:val="13"/>
              </w:rPr>
              <w:t>4</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(42)</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(105)</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Interest and other financial charges</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(229)</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Other, net</w:t>
            </w:r>
            <w:r>
              <w:rPr>
                <w:rFonts w:ascii="Aptos;sans-serif" w:hAnsi="Aptos;sans-serif"/>
                <w:b w:val="false"/>
                <w:color w:val="000000"/>
                <w:sz w:val="13"/>
              </w:rPr>
              <w:t>5</w:t>
            </w:r>
          </w:p>
        </w:tc>
        <w:tc>
          <w:tcPr>
            <w:tcW w:w="112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13"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Income before taxes</w:t>
            </w:r>
          </w:p>
        </w:tc>
        <w:tc>
          <w:tcPr>
            <w:tcW w:w="33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378</w:t>
            </w:r>
            <w:r>
              <w:rPr>
                <w:color w:val="000000"/>
              </w:rPr>
              <w:t> </w:t>
            </w:r>
          </w:p>
        </w:tc>
        <w:tc>
          <w:tcPr>
            <w:tcW w:w="14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1,000</w:t>
            </w:r>
            <w:r>
              <w:rPr>
                <w:color w:val="000000"/>
              </w:rPr>
              <w:t> </w:t>
            </w:r>
          </w:p>
        </w:tc>
        <w:tc>
          <w:tcPr>
            <w:tcW w:w="12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1,178</w:t>
            </w:r>
            <w:r>
              <w:rPr>
                <w:color w:val="000000"/>
              </w:rPr>
              <w:t> </w:t>
            </w:r>
          </w:p>
        </w:tc>
        <w:tc>
          <w:tcPr>
            <w:tcW w:w="12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1,933</w:t>
            </w:r>
            <w:r>
              <w:rPr>
                <w:color w:val="000000"/>
              </w:rPr>
              <w:t> </w:t>
            </w:r>
          </w:p>
        </w:tc>
        <w:tc>
          <w:tcPr>
            <w:tcW w:w="1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ind w:left="0" w:right="0" w:hanging="360"/>
        <w:jc w:val="left"/>
        <w:rPr>
          <w:rFonts w:ascii="Aptos;sans-serif" w:hAnsi="Aptos;sans-serif"/>
          <w:b w:val="false"/>
          <w:color w:val="000000"/>
          <w:sz w:val="16"/>
        </w:rPr>
      </w:pPr>
      <w:r>
        <w:rPr>
          <w:rFonts w:ascii="Aptos;sans-serif" w:hAnsi="Aptos;sans-serif"/>
          <w:b w:val="false"/>
          <w:color w:val="000000"/>
          <w:sz w:val="16"/>
        </w:rPr>
        <w:t>1.Amounts included in Cost of products and services sold and Selling, general and administrative expenses.</w:t>
      </w:r>
    </w:p>
    <w:p>
      <w:pPr>
        <w:pStyle w:val="TextBody"/>
        <w:bidi w:val="0"/>
        <w:spacing w:lineRule="auto" w:line="288" w:before="0" w:after="0"/>
        <w:ind w:left="0" w:right="0" w:hanging="360"/>
        <w:jc w:val="left"/>
        <w:rPr>
          <w:rFonts w:ascii="Aptos;sans-serif" w:hAnsi="Aptos;sans-serif"/>
          <w:b w:val="false"/>
          <w:color w:val="000000"/>
          <w:sz w:val="16"/>
        </w:rPr>
      </w:pPr>
      <w:r>
        <w:rPr>
          <w:rFonts w:ascii="Aptos;sans-serif" w:hAnsi="Aptos;sans-serif"/>
          <w:b w:val="false"/>
          <w:color w:val="000000"/>
          <w:sz w:val="16"/>
        </w:rPr>
        <w:t>2.Amounts included in Selling, general and administrative expenses.</w:t>
      </w:r>
    </w:p>
    <w:p>
      <w:pPr>
        <w:pStyle w:val="TextBody"/>
        <w:bidi w:val="0"/>
        <w:spacing w:lineRule="auto" w:line="288" w:before="0" w:after="0"/>
        <w:ind w:left="0" w:right="0" w:hanging="360"/>
        <w:jc w:val="left"/>
        <w:rPr>
          <w:rFonts w:ascii="Aptos;sans-serif" w:hAnsi="Aptos;sans-serif"/>
          <w:b w:val="false"/>
          <w:color w:val="000000"/>
          <w:sz w:val="16"/>
        </w:rPr>
      </w:pPr>
      <w:r>
        <w:rPr>
          <w:rFonts w:ascii="Aptos;sans-serif" w:hAnsi="Aptos;sans-serif"/>
          <w:b w:val="false"/>
          <w:color w:val="000000"/>
          <w:sz w:val="16"/>
        </w:rPr>
        <w:t>3.Amounts included in Selling, general and administrative expenses and Other expense, net.</w:t>
      </w:r>
    </w:p>
    <w:p>
      <w:pPr>
        <w:pStyle w:val="TextBody"/>
        <w:bidi w:val="0"/>
        <w:spacing w:lineRule="auto" w:line="288" w:before="0" w:after="0"/>
        <w:ind w:left="0" w:right="0" w:hanging="360"/>
        <w:jc w:val="left"/>
        <w:rPr>
          <w:rFonts w:ascii="Aptos;sans-serif" w:hAnsi="Aptos;sans-serif"/>
          <w:b w:val="false"/>
          <w:color w:val="000000"/>
          <w:sz w:val="16"/>
        </w:rPr>
      </w:pPr>
      <w:r>
        <w:rPr>
          <w:rFonts w:ascii="Aptos;sans-serif" w:hAnsi="Aptos;sans-serif"/>
          <w:b w:val="false"/>
          <w:color w:val="000000"/>
          <w:sz w:val="16"/>
        </w:rPr>
        <w:t>4.Amounts included in Cost of products and services sold and Other expense, net.</w:t>
      </w:r>
    </w:p>
    <w:p>
      <w:pPr>
        <w:pStyle w:val="TextBody"/>
        <w:bidi w:val="0"/>
        <w:spacing w:lineRule="auto" w:line="288" w:before="0" w:after="180"/>
        <w:ind w:left="0" w:right="0" w:hanging="360"/>
        <w:jc w:val="left"/>
        <w:rPr>
          <w:rFonts w:ascii="Aptos;sans-serif" w:hAnsi="Aptos;sans-serif"/>
          <w:b w:val="false"/>
          <w:color w:val="000000"/>
          <w:sz w:val="16"/>
        </w:rPr>
      </w:pPr>
      <w:r>
        <w:rPr>
          <w:rFonts w:ascii="Aptos;sans-serif" w:hAnsi="Aptos;sans-serif"/>
          <w:b w:val="false"/>
          <w:color w:val="000000"/>
          <w:sz w:val="16"/>
        </w:rPr>
        <w:t>5.Amounts include pension income (expense), repositioning charges, and other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- 9</w:t>
      </w:r>
    </w:p>
    <w:p>
      <w:pPr>
        <w:pStyle w:val="TextBody"/>
        <w:bidi w:val="0"/>
        <w:spacing w:lineRule="auto" w:line="288" w:before="0" w:after="180"/>
        <w:jc w:val="left"/>
        <w:rPr/>
      </w:pPr>
      <w:r>
        <w:rPr>
          <w:rFonts w:ascii="Aptos;sans-serif" w:hAnsi="Aptos;sans-serif"/>
          <w:b/>
          <w:color w:val="000000"/>
          <w:sz w:val="20"/>
        </w:rPr>
        <w:t>Non-GAAP Financial Measures</w:t>
      </w:r>
      <w:r>
        <w:rPr>
          <w:color w:val="000000"/>
        </w:rPr>
        <w:t xml:space="preserve">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information provides definitions and reconciliations of certain non-GAAP financial measures presented in this press release to which this reconciliation is attached to the most directly comparable financial measures calculated and presented in accordance with generally accepted accounting principles (GAAP).</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Management believes that, when considered together with reported amounts, these measures are useful to investors and management in understanding our ongoing operations and in the analysis of ongoing operating trends. Management believes these non</w:t>
        <w:noBreakHyphen/>
        <w:t>GAAP financial measures provide investors with useful supplemental information related to our performance period to period, align the measures to how management evaluates performance internally, and make it easier for investors to compare our performance to peers.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Other companies may calculate these non-GAAP measures differently, limiting the usefulness of these measures for comparative purposes.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 Aerospace’s business.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Information reconciling forward-looking GAAP financial measures to non-GAAP financial measures related to full-year 2026 guidance, including organic sales growth, pro forma standalone adjusted EBIT, pro forma standalone adjusted earnings per share, and second half free cash flow, is not available because management cannot reliably predict or estimate certain items without unreasonable effort. These items include fluctuations in global currency market; the timing, occurrence and impact of acquisition and divestiture transactions; pension mark-to-market expense as it is dependent on macroeconomic factors, such as interest rates and the return generated on invested pension plan assets; and the timing of working capital cash flows and capital expenditures. The information that is unavailable to provide a quantitative reconciliation could have a significant impact on our reported financial results.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- 10</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Reconciliation of Organic Sales Percent Change for Total Company and by Segment</w:t>
      </w:r>
    </w:p>
    <w:p>
      <w:pPr>
        <w:pStyle w:val="TextBody"/>
        <w:bidi w:val="0"/>
        <w:spacing w:lineRule="auto" w:line="288" w:before="0" w:after="180"/>
        <w:ind w:left="0" w:right="0" w:firstLine="90"/>
        <w:jc w:val="center"/>
        <w:rPr>
          <w:rFonts w:ascii="Aptos;sans-serif" w:hAnsi="Aptos;sans-serif"/>
          <w:b/>
          <w:color w:val="000000"/>
          <w:sz w:val="20"/>
        </w:rPr>
      </w:pPr>
      <w:r>
        <w:rPr>
          <w:rFonts w:ascii="Aptos;sans-serif" w:hAnsi="Aptos;sans-serif"/>
          <w:b/>
          <w:color w:val="000000"/>
          <w:sz w:val="20"/>
        </w:rPr>
        <w:t>(Unaudited)</w:t>
      </w:r>
    </w:p>
    <w:tbl>
      <w:tblPr>
        <w:tblW w:w="6014" w:type="dxa"/>
        <w:jc w:val="center"/>
        <w:tblInd w:w="0" w:type="dxa"/>
        <w:tblLayout w:type="fixed"/>
        <w:tblCellMar>
          <w:top w:w="28" w:type="dxa"/>
          <w:left w:w="28" w:type="dxa"/>
          <w:bottom w:w="28" w:type="dxa"/>
          <w:right w:w="28" w:type="dxa"/>
        </w:tblCellMar>
      </w:tblPr>
      <w:tblGrid>
        <w:gridCol w:w="1287"/>
        <w:gridCol w:w="1131"/>
        <w:gridCol w:w="1136"/>
        <w:gridCol w:w="415"/>
        <w:gridCol w:w="415"/>
        <w:gridCol w:w="1149"/>
        <w:gridCol w:w="109"/>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2Q 2026 v. 2Q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Honeywell Aerospace</w:t>
            </w:r>
          </w:p>
        </w:tc>
        <w:tc>
          <w:tcPr>
            <w:tcW w:w="1979"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Reported sales percent change</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w:t>
            </w: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Foreign currency translation</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Acquisitions</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Other</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Organic sales percent change</w:t>
            </w:r>
          </w:p>
        </w:tc>
        <w:tc>
          <w:tcPr>
            <w:tcW w:w="8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w:t>
            </w:r>
            <w:r>
              <w:rPr>
                <w:color w:val="000000"/>
              </w:rPr>
              <w:t> </w:t>
            </w:r>
          </w:p>
        </w:tc>
        <w:tc>
          <w:tcPr>
            <w:tcW w:w="114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Electronic Solutions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Reported sales percent change</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w:t>
            </w: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Foreign currency translation</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Acquisitions</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Other</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Organic sales percent change</w:t>
            </w:r>
          </w:p>
        </w:tc>
        <w:tc>
          <w:tcPr>
            <w:tcW w:w="8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w:t>
            </w:r>
            <w:r>
              <w:rPr>
                <w:color w:val="000000"/>
              </w:rPr>
              <w:t> </w:t>
            </w:r>
          </w:p>
        </w:tc>
        <w:tc>
          <w:tcPr>
            <w:tcW w:w="114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Engines &amp; Power Systems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Reported sales percent change</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w:t>
            </w: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Foreign currency translation</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Acquisitions</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Other</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Organic sales percent change</w:t>
            </w:r>
          </w:p>
        </w:tc>
        <w:tc>
          <w:tcPr>
            <w:tcW w:w="8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w:t>
            </w:r>
            <w:r>
              <w:rPr>
                <w:color w:val="000000"/>
              </w:rPr>
              <w:t> </w:t>
            </w:r>
          </w:p>
        </w:tc>
        <w:tc>
          <w:tcPr>
            <w:tcW w:w="114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Control Systems</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Reported sales percent change</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w:t>
            </w: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Foreign currency translation</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Acquisitions</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Other</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54"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Organic sales percent change</w:t>
            </w:r>
          </w:p>
        </w:tc>
        <w:tc>
          <w:tcPr>
            <w:tcW w:w="830"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w:t>
            </w:r>
            <w:r>
              <w:rPr>
                <w:color w:val="000000"/>
              </w:rPr>
              <w:t> </w:t>
            </w:r>
          </w:p>
        </w:tc>
        <w:tc>
          <w:tcPr>
            <w:tcW w:w="114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define organic sales percent change as the year-over-year change in reported Net sales relative to the comparable period, excluding the impact on sales from foreign currency translation and acquisitions, net of divestitures, for the first 12 months following the transaction date, and other items that are unusual and non-recurring in nature (e.g., impact of comprehensive settlement related to Flexjet litigation). We believe this measure is useful to investors and management in understanding our ongoing operations and in analysis of ongoing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- 11</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Reconciliation of Organic Sales Percent Change by End Market</w:t>
      </w:r>
    </w:p>
    <w:p>
      <w:pPr>
        <w:pStyle w:val="TextBody"/>
        <w:bidi w:val="0"/>
        <w:spacing w:lineRule="auto" w:line="288" w:before="0" w:after="180"/>
        <w:ind w:left="0" w:right="0" w:firstLine="90"/>
        <w:jc w:val="center"/>
        <w:rPr>
          <w:rFonts w:ascii="Aptos;sans-serif" w:hAnsi="Aptos;sans-serif"/>
          <w:b/>
          <w:color w:val="000000"/>
          <w:sz w:val="20"/>
        </w:rPr>
      </w:pPr>
      <w:r>
        <w:rPr>
          <w:rFonts w:ascii="Aptos;sans-serif" w:hAnsi="Aptos;sans-serif"/>
          <w:b/>
          <w:color w:val="000000"/>
          <w:sz w:val="20"/>
        </w:rPr>
        <w:t>(Unaudited)</w:t>
      </w:r>
    </w:p>
    <w:tbl>
      <w:tblPr>
        <w:tblW w:w="5718" w:type="dxa"/>
        <w:jc w:val="center"/>
        <w:tblInd w:w="0" w:type="dxa"/>
        <w:tblLayout w:type="fixed"/>
        <w:tblCellMar>
          <w:top w:w="28" w:type="dxa"/>
          <w:left w:w="28" w:type="dxa"/>
          <w:bottom w:w="28" w:type="dxa"/>
          <w:right w:w="28" w:type="dxa"/>
        </w:tblCellMar>
      </w:tblPr>
      <w:tblGrid>
        <w:gridCol w:w="1300"/>
        <w:gridCol w:w="1141"/>
        <w:gridCol w:w="1144"/>
        <w:gridCol w:w="415"/>
        <w:gridCol w:w="415"/>
        <w:gridCol w:w="1149"/>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2Q 2026 v. 2Q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Commercial Original Equipment</w:t>
            </w:r>
          </w:p>
        </w:tc>
        <w:tc>
          <w:tcPr>
            <w:tcW w:w="1979"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Reported sales percent change</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w:t>
            </w: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Foreign currency translation</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Acquisitions</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Other</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Organic sales percent change</w:t>
            </w:r>
          </w:p>
        </w:tc>
        <w:tc>
          <w:tcPr>
            <w:tcW w:w="8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w:t>
            </w:r>
            <w:r>
              <w:rPr>
                <w:color w:val="000000"/>
              </w:rPr>
              <w:t> </w:t>
            </w:r>
          </w:p>
        </w:tc>
        <w:tc>
          <w:tcPr>
            <w:tcW w:w="114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Commercial Aftermarket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Reported sales percent change</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w:t>
            </w: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Foreign currency translation</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Acquisitions</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Other</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Organic sales percent change</w:t>
            </w:r>
          </w:p>
        </w:tc>
        <w:tc>
          <w:tcPr>
            <w:tcW w:w="83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w:t>
            </w:r>
            <w:r>
              <w:rPr>
                <w:color w:val="000000"/>
              </w:rPr>
              <w:t> </w:t>
            </w:r>
          </w:p>
        </w:tc>
        <w:tc>
          <w:tcPr>
            <w:tcW w:w="114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Defense and Space</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Reported sales percent change</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w:t>
            </w: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Foreign currency translation</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Acquisitions</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Other</w:t>
            </w:r>
          </w:p>
        </w:tc>
        <w:tc>
          <w:tcPr>
            <w:tcW w:w="83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Organic sales percent change</w:t>
            </w:r>
          </w:p>
        </w:tc>
        <w:tc>
          <w:tcPr>
            <w:tcW w:w="830"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w:t>
            </w:r>
            <w:r>
              <w:rPr>
                <w:color w:val="000000"/>
              </w:rPr>
              <w:t> </w:t>
            </w:r>
          </w:p>
        </w:tc>
        <w:tc>
          <w:tcPr>
            <w:tcW w:w="114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define organic sales percentage as the year-over-year change in reported Net sales relative to the comparable period, excluding the impact on sales from foreign currency translation and acquisitions, net of divestitures, for the first 12 months following the transaction date, and other items that are unusual and non-recurring in nature (e.g., impact of comprehensive settlement related to Flexjet litigation). We believe this measure is useful to investors and management in understanding our ongoing operations and in analysis of ongoing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- 12</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Reconciliation of Net Income to Segment Profit and Adjusted EBIT</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(Unaudited)</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(Dollars in millions)</w:t>
      </w:r>
    </w:p>
    <w:tbl>
      <w:tblPr>
        <w:tblW w:w="8391" w:type="dxa"/>
        <w:jc w:val="left"/>
        <w:tblInd w:w="0" w:type="dxa"/>
        <w:tblLayout w:type="fixed"/>
        <w:tblCellMar>
          <w:top w:w="28" w:type="dxa"/>
          <w:left w:w="28" w:type="dxa"/>
          <w:bottom w:w="28" w:type="dxa"/>
          <w:right w:w="28" w:type="dxa"/>
        </w:tblCellMar>
      </w:tblPr>
      <w:tblGrid>
        <w:gridCol w:w="1767"/>
        <w:gridCol w:w="1549"/>
        <w:gridCol w:w="1558"/>
        <w:gridCol w:w="369"/>
        <w:gridCol w:w="874"/>
        <w:gridCol w:w="166"/>
        <w:gridCol w:w="109"/>
        <w:gridCol w:w="109"/>
        <w:gridCol w:w="109"/>
        <w:gridCol w:w="300"/>
        <w:gridCol w:w="974"/>
        <w:gridCol w:w="135"/>
        <w:gridCol w:w="109"/>
        <w:gridCol w:w="109"/>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7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income</w:t>
            </w:r>
          </w:p>
        </w:tc>
        <w:tc>
          <w:tcPr>
            <w:tcW w:w="36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256</w:t>
            </w:r>
            <w:r>
              <w:rPr>
                <w:color w:val="000000"/>
              </w:rPr>
              <w:t> </w:t>
            </w:r>
          </w:p>
        </w:tc>
        <w:tc>
          <w:tcPr>
            <w:tcW w:w="166"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852</w:t>
            </w:r>
            <w:r>
              <w:rPr>
                <w:color w:val="000000"/>
              </w:rPr>
              <w:t>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Income tax expense</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122 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148 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Amortization of acquisition-related intangibles</w:t>
            </w:r>
            <w:r>
              <w:rPr>
                <w:rFonts w:ascii="Aptos;sans-serif" w:hAnsi="Aptos;sans-serif"/>
                <w:b w:val="false"/>
                <w:color w:val="000000"/>
                <w:sz w:val="13"/>
              </w:rPr>
              <w:t>(1)</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Stock compensation expense</w:t>
            </w:r>
            <w:r>
              <w:rPr>
                <w:rFonts w:ascii="Aptos;sans-serif" w:hAnsi="Aptos;sans-serif"/>
                <w:b w:val="false"/>
                <w:color w:val="000000"/>
                <w:sz w:val="13"/>
              </w:rPr>
              <w:t>(2)</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Environmental expense</w:t>
            </w:r>
            <w:r>
              <w:rPr>
                <w:rFonts w:ascii="Aptos;sans-serif" w:hAnsi="Aptos;sans-serif"/>
                <w:b w:val="false"/>
                <w:color w:val="000000"/>
                <w:sz w:val="13"/>
              </w:rPr>
              <w:t>(3)</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Transaction costs</w:t>
            </w:r>
            <w:r>
              <w:rPr>
                <w:rFonts w:ascii="Aptos;sans-serif" w:hAnsi="Aptos;sans-serif"/>
                <w:b w:val="false"/>
                <w:color w:val="000000"/>
                <w:sz w:val="13"/>
              </w:rPr>
              <w:t>(4)</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329 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Interest and other financial charges</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Other, net</w:t>
            </w:r>
            <w:r>
              <w:rPr>
                <w:rFonts w:ascii="Aptos;sans-serif" w:hAnsi="Aptos;sans-serif"/>
                <w:b w:val="false"/>
                <w:color w:val="000000"/>
                <w:sz w:val="13"/>
              </w:rPr>
              <w:t>(5)</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74"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Segment Profit/Adjusted EBIT</w:t>
            </w:r>
          </w:p>
        </w:tc>
        <w:tc>
          <w:tcPr>
            <w:tcW w:w="36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995</w:t>
            </w:r>
            <w:r>
              <w:rPr>
                <w:color w:val="000000"/>
              </w:rPr>
              <w:t> </w:t>
            </w:r>
          </w:p>
        </w:tc>
        <w:tc>
          <w:tcPr>
            <w:tcW w:w="1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1,066</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included in Cost of products and services sold and Selling, general and administrative.</w:t>
      </w:r>
    </w:p>
    <w:p>
      <w:pPr>
        <w:pStyle w:val="TextBody"/>
        <w:bidi w:val="0"/>
        <w:spacing w:lineRule="auto" w:line="288" w:before="0" w:after="0"/>
        <w:ind w:left="0" w:right="0" w:hanging="360"/>
        <w:jc w:val="left"/>
        <w:rPr>
          <w:rFonts w:ascii="Aptos;sans-serif" w:hAnsi="Aptos;sans-serif"/>
          <w:b w:val="false"/>
          <w:color w:val="000000"/>
          <w:sz w:val="16"/>
        </w:rPr>
      </w:pPr>
      <w:r>
        <w:rPr>
          <w:rFonts w:ascii="Aptos;sans-serif" w:hAnsi="Aptos;sans-serif"/>
          <w:b w:val="false"/>
          <w:color w:val="000000"/>
          <w:sz w:val="16"/>
        </w:rPr>
        <w:t>2.Amounts included in Selling, general and administrative expenses.</w:t>
      </w:r>
    </w:p>
    <w:p>
      <w:pPr>
        <w:pStyle w:val="TextBody"/>
        <w:bidi w:val="0"/>
        <w:spacing w:lineRule="auto" w:line="288" w:before="0" w:after="0"/>
        <w:ind w:left="0" w:right="0" w:hanging="360"/>
        <w:jc w:val="left"/>
        <w:rPr>
          <w:rFonts w:ascii="Aptos;sans-serif" w:hAnsi="Aptos;sans-serif"/>
          <w:b w:val="false"/>
          <w:color w:val="000000"/>
          <w:sz w:val="16"/>
        </w:rPr>
      </w:pPr>
      <w:r>
        <w:rPr>
          <w:rFonts w:ascii="Aptos;sans-serif" w:hAnsi="Aptos;sans-serif"/>
          <w:b w:val="false"/>
          <w:color w:val="000000"/>
          <w:sz w:val="16"/>
        </w:rPr>
        <w:t>3.Amounts included in Cost of products and services sold and Other expense, net.</w:t>
      </w:r>
    </w:p>
    <w:p>
      <w:pPr>
        <w:pStyle w:val="TextBody"/>
        <w:bidi w:val="0"/>
        <w:spacing w:lineRule="auto" w:line="288" w:before="0" w:after="0"/>
        <w:ind w:left="0" w:right="0" w:hanging="360"/>
        <w:jc w:val="left"/>
        <w:rPr>
          <w:rFonts w:ascii="Aptos;sans-serif" w:hAnsi="Aptos;sans-serif"/>
          <w:b w:val="false"/>
          <w:color w:val="000000"/>
          <w:sz w:val="16"/>
        </w:rPr>
      </w:pPr>
      <w:r>
        <w:rPr>
          <w:rFonts w:ascii="Aptos;sans-serif" w:hAnsi="Aptos;sans-serif"/>
          <w:b w:val="false"/>
          <w:color w:val="000000"/>
          <w:sz w:val="16"/>
        </w:rPr>
        <w:t>4.Amounts included in Selling, general and administrative expenses and Other expense, net.</w:t>
      </w:r>
    </w:p>
    <w:p>
      <w:pPr>
        <w:pStyle w:val="TextBody"/>
        <w:bidi w:val="0"/>
        <w:spacing w:lineRule="auto" w:line="288" w:before="0" w:after="0"/>
        <w:ind w:left="0" w:right="0" w:hanging="360"/>
        <w:jc w:val="left"/>
        <w:rPr>
          <w:rFonts w:ascii="Aptos;sans-serif" w:hAnsi="Aptos;sans-serif"/>
          <w:b w:val="false"/>
          <w:color w:val="000000"/>
          <w:sz w:val="16"/>
        </w:rPr>
      </w:pPr>
      <w:r>
        <w:rPr>
          <w:rFonts w:ascii="Aptos;sans-serif" w:hAnsi="Aptos;sans-serif"/>
          <w:b w:val="false"/>
          <w:color w:val="000000"/>
          <w:sz w:val="16"/>
        </w:rPr>
        <w:t>5.Amounts include pension (income) expense and repositioning and other charges.</w:t>
      </w:r>
    </w:p>
    <w:p>
      <w:pPr>
        <w:pStyle w:val="TextBody"/>
        <w:bidi w:val="0"/>
        <w:spacing w:before="0" w:after="0"/>
        <w:jc w:val="both"/>
        <w:rPr/>
      </w:pPr>
      <w:r>
        <w:rPr/>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define Total segment profit as Net income, excluding taxes, interest, amortization of acquisition-related intangibles, stock compensation expense, environmental expense, pension income (expense), repositioning and other charges, transaction costs, expenses associated with the Honeywell trademark license, and other items within Other expense, net. We define adjusted EBIT as net income before taxes, excluding interest, amortization-related intangibles, stock compensation expense, environmental expense, pension income (expense), repositioning and other charges, transaction costs, expenses associated with the Honeywell trademark license, other items within Other expense, net, and other items that are unusual or non-recurring in nature, including but not limited to impairment charges and litigation charges (e.g., comprehensive settlement related to Flexjet litigation). We believe these measures are useful to investors as they provide greater transparency with respect to supplemental information used by management in its financial and operational decision making, as well as understanding ongoing operating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Honeywell Aerospace 2Q26 Results - 13</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Reconciliation of Earnings per Share to Adjusted Earnings per Share</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(Unaudited)</w:t>
      </w:r>
    </w:p>
    <w:p>
      <w:pPr>
        <w:pStyle w:val="TextBody"/>
        <w:bidi w:val="0"/>
        <w:spacing w:before="0" w:after="0"/>
        <w:jc w:val="center"/>
        <w:rPr/>
      </w:pPr>
      <w:r>
        <w:rPr/>
      </w:r>
    </w:p>
    <w:tbl>
      <w:tblPr>
        <w:tblW w:w="9387" w:type="dxa"/>
        <w:jc w:val="left"/>
        <w:tblInd w:w="0" w:type="dxa"/>
        <w:tblLayout w:type="fixed"/>
        <w:tblCellMar>
          <w:top w:w="28" w:type="dxa"/>
          <w:left w:w="28" w:type="dxa"/>
          <w:bottom w:w="28" w:type="dxa"/>
          <w:right w:w="28" w:type="dxa"/>
        </w:tblCellMar>
      </w:tblPr>
      <w:tblGrid>
        <w:gridCol w:w="2242"/>
        <w:gridCol w:w="1970"/>
        <w:gridCol w:w="1983"/>
        <w:gridCol w:w="341"/>
        <w:gridCol w:w="915"/>
        <w:gridCol w:w="154"/>
        <w:gridCol w:w="109"/>
        <w:gridCol w:w="109"/>
        <w:gridCol w:w="109"/>
        <w:gridCol w:w="337"/>
        <w:gridCol w:w="903"/>
        <w:gridCol w:w="215"/>
      </w:tblGrid>
      <w:tr>
        <w:trPr/>
        <w:tc>
          <w:tcPr>
            <w:tcW w:w="224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Three Months Ended</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619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Earnings per share of common stock - diluted</w:t>
            </w:r>
            <w:r>
              <w:rPr>
                <w:rFonts w:ascii="Aptos;sans-serif" w:hAnsi="Aptos;sans-serif"/>
                <w:b/>
                <w:color w:val="000000"/>
                <w:sz w:val="13"/>
              </w:rPr>
              <w:t>1</w:t>
            </w:r>
          </w:p>
        </w:tc>
        <w:tc>
          <w:tcPr>
            <w:tcW w:w="341"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915"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0.78</w:t>
            </w:r>
            <w:r>
              <w:rPr>
                <w:color w:val="000000"/>
              </w:rPr>
              <w:t> </w:t>
            </w:r>
          </w:p>
        </w:tc>
        <w:tc>
          <w:tcPr>
            <w:tcW w:w="154"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903"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2.66</w:t>
            </w:r>
            <w:r>
              <w:rPr>
                <w:color w:val="000000"/>
              </w:rPr>
              <w:t> </w:t>
            </w:r>
          </w:p>
        </w:tc>
        <w:tc>
          <w:tcPr>
            <w:tcW w:w="21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Amortization of acquisition-related intangibles</w:t>
            </w:r>
            <w:r>
              <w:rPr>
                <w:rFonts w:ascii="Aptos;sans-serif" w:hAnsi="Aptos;sans-serif"/>
                <w:b w:val="false"/>
                <w:color w:val="000000"/>
                <w:sz w:val="13"/>
              </w:rPr>
              <w:t>2</w:t>
            </w:r>
          </w:p>
        </w:tc>
        <w:tc>
          <w:tcPr>
            <w:tcW w:w="125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0.05 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0.04 </w:t>
            </w:r>
          </w:p>
        </w:tc>
        <w:tc>
          <w:tcPr>
            <w:tcW w:w="21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Transaction costs</w:t>
            </w:r>
            <w:r>
              <w:rPr>
                <w:rFonts w:ascii="Aptos;sans-serif" w:hAnsi="Aptos;sans-serif"/>
                <w:b w:val="false"/>
                <w:color w:val="000000"/>
                <w:sz w:val="13"/>
              </w:rPr>
              <w:t>3</w:t>
            </w:r>
          </w:p>
        </w:tc>
        <w:tc>
          <w:tcPr>
            <w:tcW w:w="125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1.04 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0.05 </w:t>
            </w:r>
          </w:p>
        </w:tc>
        <w:tc>
          <w:tcPr>
            <w:tcW w:w="21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5"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Adjusted earnings per share of common stock - diluted</w:t>
            </w:r>
          </w:p>
        </w:tc>
        <w:tc>
          <w:tcPr>
            <w:tcW w:w="3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91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1.87</w:t>
            </w:r>
            <w:r>
              <w:rPr>
                <w:color w:val="000000"/>
              </w:rPr>
              <w:t> </w:t>
            </w:r>
          </w:p>
        </w:tc>
        <w:tc>
          <w:tcPr>
            <w:tcW w:w="1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90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2.75</w:t>
            </w:r>
            <w:r>
              <w:rPr>
                <w:color w:val="000000"/>
              </w:rPr>
              <w:t> </w:t>
            </w:r>
          </w:p>
        </w:tc>
        <w:tc>
          <w:tcPr>
            <w:tcW w:w="21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hanging="360"/>
        <w:jc w:val="both"/>
        <w:rPr>
          <w:rFonts w:ascii="Aptos;sans-serif" w:hAnsi="Aptos;sans-serif"/>
          <w:b w:val="false"/>
          <w:color w:val="000000"/>
          <w:sz w:val="16"/>
        </w:rPr>
      </w:pPr>
      <w:r>
        <w:rPr>
          <w:rFonts w:ascii="Aptos;sans-serif" w:hAnsi="Aptos;sans-serif"/>
          <w:b w:val="false"/>
          <w:color w:val="000000"/>
          <w:sz w:val="16"/>
        </w:rPr>
        <w:t>1.Reflects earnings per share on a diluted basis. On June 29, 2026, there were approximately 317 million shares of Honeywell Aerospace common stock outstanding. The computation of earnings per common share for all periods through June 27, 2026 was calculated using 317 million common shares. For periods prior to the Spin-Off, the Company participated in various Honeywell stock-based compensation plans. It is assumed that there are no dilutive equity instruments in prior periods as there were no equity awards of Honeywell Aerospace outstanding prior to Spin-Off. Outstanding equity instruments may convert into equity instruments of the Company after the Spin-Off and be included in the diluted earnings per share calculation in future reporting periods to the extent such equity instruments are dilutive.</w:t>
      </w:r>
    </w:p>
    <w:p>
      <w:pPr>
        <w:pStyle w:val="TextBody"/>
        <w:bidi w:val="0"/>
        <w:spacing w:lineRule="auto" w:line="276" w:before="0" w:after="0"/>
        <w:ind w:left="0" w:right="0" w:hanging="360"/>
        <w:jc w:val="both"/>
        <w:rPr>
          <w:rFonts w:ascii="Aptos;sans-serif" w:hAnsi="Aptos;sans-serif"/>
          <w:b w:val="false"/>
          <w:color w:val="000000"/>
          <w:sz w:val="16"/>
        </w:rPr>
      </w:pPr>
      <w:r>
        <w:rPr>
          <w:rFonts w:ascii="Aptos;sans-serif" w:hAnsi="Aptos;sans-serif"/>
          <w:b w:val="false"/>
          <w:color w:val="000000"/>
          <w:sz w:val="16"/>
        </w:rPr>
        <w:t>2.For the three months ended June 27, 2026, acquisition-related intangibles amortization includes $18 million, net of tax benefit of $4 million. For the three months ended June 28, 2025, acquisition-related intangibles amortization includes $13 million, net of tax benefit of $4 million.</w:t>
      </w:r>
    </w:p>
    <w:p>
      <w:pPr>
        <w:pStyle w:val="TextBody"/>
        <w:bidi w:val="0"/>
        <w:spacing w:lineRule="auto" w:line="276" w:before="0" w:after="0"/>
        <w:ind w:left="0" w:right="0" w:hanging="360"/>
        <w:jc w:val="both"/>
        <w:rPr>
          <w:rFonts w:ascii="Aptos;sans-serif" w:hAnsi="Aptos;sans-serif"/>
          <w:b w:val="false"/>
          <w:color w:val="000000"/>
          <w:sz w:val="16"/>
        </w:rPr>
      </w:pPr>
      <w:r>
        <w:rPr>
          <w:rFonts w:ascii="Aptos;sans-serif" w:hAnsi="Aptos;sans-serif"/>
          <w:b w:val="false"/>
          <w:color w:val="000000"/>
          <w:sz w:val="16"/>
        </w:rPr>
        <w:t>3.For the three months ended June 27, 2026, transaction related costs includes $329 million, without tax benefit. For the three months ended June 28, 2025, transaction related costs includes $15 million, net of tax benefit of $2 million.</w:t>
      </w:r>
    </w:p>
    <w:p>
      <w:pPr>
        <w:pStyle w:val="TextBody"/>
        <w:bidi w:val="0"/>
        <w:spacing w:before="0" w:after="0"/>
        <w:jc w:val="both"/>
        <w:rPr/>
      </w:pPr>
      <w:r>
        <w:rPr/>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We define adjusted earnings per share as diluted earnings per share adjusted to exclude various charges as listed above. We believe adjusted earnings per share is a measure that is useful to investors and management in understanding our ongoing operations and in analysis of ongoing operating trends. </w:t>
      </w:r>
    </w:p>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5605</Words>
  <Characters>31730</Characters>
  <CharactersWithSpaces>36778</CharactersWithSpaces>
  <Paragraphs>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