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SECURITIES AND EXCHANGE COMMISSION</w:t>
      </w:r>
    </w:p>
    <w:p>
      <w:pPr>
        <w:ind w:left="4640"/>
        <w:spacing w:after="0" w:line="219" w:lineRule="auto"/>
        <w:rPr>
          <w:sz w:val="20"/>
          <w:szCs w:val="20"/>
          <w:color w:val="auto"/>
        </w:rPr>
      </w:pPr>
      <w:r>
        <w:rPr>
          <w:rFonts w:ascii="Arial" w:cs="Arial" w:eastAsia="Arial" w:hAnsi="Arial"/>
          <w:sz w:val="18"/>
          <w:szCs w:val="18"/>
          <w:color w:val="auto"/>
        </w:rPr>
        <w:t>Washington, D.C. 20549</w:t>
      </w: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0" w:lineRule="exact"/>
        <w:rPr>
          <w:sz w:val="24"/>
          <w:szCs w:val="24"/>
          <w:color w:val="auto"/>
        </w:rPr>
      </w:pPr>
    </w:p>
    <w:p>
      <w:pPr>
        <w:ind w:left="3180" w:hanging="215"/>
        <w:spacing w:after="0"/>
        <w:tabs>
          <w:tab w:leader="none" w:pos="3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ind w:left="3620"/>
        <w:spacing w:after="0" w:line="234" w:lineRule="auto"/>
        <w:rPr>
          <w:sz w:val="20"/>
          <w:szCs w:val="20"/>
          <w:color w:val="auto"/>
        </w:rPr>
      </w:pPr>
      <w:r>
        <w:rPr>
          <w:rFonts w:ascii="Arial" w:cs="Arial" w:eastAsia="Arial" w:hAnsi="Arial"/>
          <w:sz w:val="18"/>
          <w:szCs w:val="18"/>
          <w:color w:val="auto"/>
        </w:rPr>
        <w:t>OF THE SECURITIES EXCHANGE ACT OF 1934</w:t>
      </w:r>
    </w:p>
    <w:p>
      <w:pPr>
        <w:ind w:left="3580"/>
        <w:spacing w:after="0" w:line="235" w:lineRule="auto"/>
        <w:rPr>
          <w:sz w:val="20"/>
          <w:szCs w:val="20"/>
          <w:color w:val="auto"/>
        </w:rPr>
      </w:pPr>
      <w:r>
        <w:rPr>
          <w:rFonts w:ascii="Arial" w:cs="Arial" w:eastAsia="Arial" w:hAnsi="Arial"/>
          <w:sz w:val="18"/>
          <w:szCs w:val="18"/>
          <w:color w:val="auto"/>
        </w:rPr>
        <w:t>For the quarterly period ended September 26, 2026</w:t>
      </w:r>
    </w:p>
    <w:p>
      <w:pPr>
        <w:jc w:val="center"/>
        <w:spacing w:after="0" w:line="230" w:lineRule="auto"/>
        <w:rPr>
          <w:sz w:val="20"/>
          <w:szCs w:val="20"/>
          <w:color w:val="auto"/>
        </w:rPr>
      </w:pPr>
      <w:r>
        <w:rPr>
          <w:rFonts w:ascii="Arial" w:cs="Arial" w:eastAsia="Arial" w:hAnsi="Arial"/>
          <w:sz w:val="18"/>
          <w:szCs w:val="18"/>
          <w:color w:val="auto"/>
        </w:rPr>
        <w:t>OR</w:t>
      </w:r>
    </w:p>
    <w:p>
      <w:pPr>
        <w:ind w:left="3180" w:hanging="218"/>
        <w:spacing w:after="0" w:line="224" w:lineRule="auto"/>
        <w:tabs>
          <w:tab w:leader="none" w:pos="31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w:t>
      </w:r>
    </w:p>
    <w:p>
      <w:pPr>
        <w:jc w:val="center"/>
        <w:ind w:left="3720" w:right="3620" w:hanging="99"/>
        <w:spacing w:after="0" w:line="279" w:lineRule="auto"/>
        <w:rPr>
          <w:rFonts w:ascii="MS PGothic" w:cs="MS PGothic" w:eastAsia="MS PGothic" w:hAnsi="MS PGothic"/>
          <w:sz w:val="18"/>
          <w:szCs w:val="18"/>
          <w:color w:val="auto"/>
        </w:rPr>
      </w:pPr>
      <w:r>
        <w:rPr>
          <w:rFonts w:ascii="Arial" w:cs="Arial" w:eastAsia="Arial" w:hAnsi="Arial"/>
          <w:sz w:val="17"/>
          <w:szCs w:val="17"/>
          <w:color w:val="auto"/>
        </w:rPr>
        <w:t>OF THE SECURITIES EXCHANGE ACT OF 1934 For the transition period from ______ to ______</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001-43173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172085</wp:posOffset>
            </wp:positionV>
            <wp:extent cx="2057400" cy="436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Honeywell Aerospace Inc.</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840" w:type="dxa"/>
            <w:vAlign w:val="bottom"/>
            <w:gridSpan w:val="3"/>
          </w:tcPr>
          <w:p>
            <w:pPr>
              <w:jc w:val="center"/>
              <w:ind w:left="2450"/>
              <w:spacing w:after="0"/>
              <w:rPr>
                <w:sz w:val="20"/>
                <w:szCs w:val="20"/>
                <w:color w:val="auto"/>
              </w:rPr>
            </w:pPr>
            <w:r>
              <w:rPr>
                <w:rFonts w:ascii="Arial" w:cs="Arial" w:eastAsia="Arial" w:hAnsi="Arial"/>
                <w:sz w:val="18"/>
                <w:szCs w:val="18"/>
                <w:b w:val="1"/>
                <w:bCs w:val="1"/>
                <w:color w:val="auto"/>
                <w:w w:val="98"/>
              </w:rPr>
              <w:t>Delaware</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gridSpan w:val="3"/>
          </w:tcPr>
          <w:p>
            <w:pPr>
              <w:jc w:val="right"/>
              <w:ind w:right="1270"/>
              <w:spacing w:after="0"/>
              <w:rPr>
                <w:sz w:val="20"/>
                <w:szCs w:val="20"/>
                <w:color w:val="auto"/>
              </w:rPr>
            </w:pPr>
            <w:r>
              <w:rPr>
                <w:rFonts w:ascii="Arial" w:cs="Arial" w:eastAsia="Arial" w:hAnsi="Arial"/>
                <w:sz w:val="18"/>
                <w:szCs w:val="18"/>
                <w:b w:val="1"/>
                <w:bCs w:val="1"/>
                <w:color w:val="auto"/>
              </w:rPr>
              <w:t>39-4202057</w:t>
            </w:r>
          </w:p>
        </w:tc>
        <w:tc>
          <w:tcPr>
            <w:tcW w:w="20" w:type="dxa"/>
            <w:vAlign w:val="bottom"/>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4840" w:type="dxa"/>
            <w:vAlign w:val="bottom"/>
            <w:tcBorders>
              <w:top w:val="single" w:sz="8" w:color="auto"/>
            </w:tcBorders>
            <w:gridSpan w:val="3"/>
          </w:tcPr>
          <w:p>
            <w:pPr>
              <w:jc w:val="center"/>
              <w:ind w:left="2450"/>
              <w:spacing w:after="0" w:line="169" w:lineRule="exact"/>
              <w:rPr>
                <w:sz w:val="20"/>
                <w:szCs w:val="20"/>
                <w:color w:val="auto"/>
              </w:rPr>
            </w:pPr>
            <w:r>
              <w:rPr>
                <w:rFonts w:ascii="Arial" w:cs="Arial" w:eastAsia="Arial" w:hAnsi="Arial"/>
                <w:sz w:val="18"/>
                <w:szCs w:val="18"/>
                <w:color w:val="auto"/>
              </w:rPr>
              <w:t>(State or other jurisdiction of</w:t>
            </w: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72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color w:val="auto"/>
                <w:w w:val="99"/>
              </w:rPr>
              <w:t>(I.R.S. Employer</w:t>
            </w:r>
          </w:p>
        </w:tc>
      </w:tr>
      <w:tr>
        <w:trPr>
          <w:trHeight w:val="239"/>
        </w:trPr>
        <w:tc>
          <w:tcPr>
            <w:tcW w:w="20" w:type="dxa"/>
            <w:vAlign w:val="bottom"/>
          </w:tcPr>
          <w:p>
            <w:pPr>
              <w:spacing w:after="0"/>
              <w:rPr>
                <w:sz w:val="20"/>
                <w:szCs w:val="20"/>
                <w:color w:val="auto"/>
              </w:rPr>
            </w:pPr>
          </w:p>
        </w:tc>
        <w:tc>
          <w:tcPr>
            <w:tcW w:w="6460" w:type="dxa"/>
            <w:vAlign w:val="bottom"/>
            <w:gridSpan w:val="5"/>
          </w:tcPr>
          <w:p>
            <w:pPr>
              <w:jc w:val="center"/>
              <w:ind w:left="830"/>
              <w:spacing w:after="0"/>
              <w:rPr>
                <w:sz w:val="20"/>
                <w:szCs w:val="20"/>
                <w:color w:val="auto"/>
              </w:rPr>
            </w:pPr>
            <w:r>
              <w:rPr>
                <w:rFonts w:ascii="Arial" w:cs="Arial" w:eastAsia="Arial" w:hAnsi="Arial"/>
                <w:sz w:val="18"/>
                <w:szCs w:val="18"/>
                <w:color w:val="auto"/>
                <w:w w:val="99"/>
              </w:rPr>
              <w:t>incorporation or organization)</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gridSpan w:val="2"/>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421"/>
        </w:trPr>
        <w:tc>
          <w:tcPr>
            <w:tcW w:w="20" w:type="dxa"/>
            <w:vAlign w:val="bottom"/>
          </w:tcPr>
          <w:p>
            <w:pPr>
              <w:spacing w:after="0"/>
              <w:rPr>
                <w:sz w:val="24"/>
                <w:szCs w:val="24"/>
                <w:color w:val="auto"/>
              </w:rPr>
            </w:pPr>
          </w:p>
        </w:tc>
        <w:tc>
          <w:tcPr>
            <w:tcW w:w="4840" w:type="dxa"/>
            <w:vAlign w:val="bottom"/>
            <w:gridSpan w:val="3"/>
          </w:tcPr>
          <w:p>
            <w:pPr>
              <w:jc w:val="center"/>
              <w:ind w:left="2450"/>
              <w:spacing w:after="0"/>
              <w:rPr>
                <w:sz w:val="20"/>
                <w:szCs w:val="20"/>
                <w:color w:val="auto"/>
              </w:rPr>
            </w:pPr>
            <w:r>
              <w:rPr>
                <w:rFonts w:ascii="Arial" w:cs="Arial" w:eastAsia="Arial" w:hAnsi="Arial"/>
                <w:sz w:val="18"/>
                <w:szCs w:val="18"/>
                <w:b w:val="1"/>
                <w:bCs w:val="1"/>
                <w:color w:val="auto"/>
                <w:w w:val="99"/>
              </w:rPr>
              <w:t>1944 E Sky Harbor Cir N</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4840" w:type="dxa"/>
            <w:vAlign w:val="bottom"/>
            <w:gridSpan w:val="3"/>
          </w:tcPr>
          <w:p>
            <w:pPr>
              <w:ind w:left="2920"/>
              <w:spacing w:after="0"/>
              <w:rPr>
                <w:sz w:val="20"/>
                <w:szCs w:val="20"/>
                <w:color w:val="auto"/>
              </w:rPr>
            </w:pPr>
            <w:r>
              <w:rPr>
                <w:rFonts w:ascii="Arial" w:cs="Arial" w:eastAsia="Arial" w:hAnsi="Arial"/>
                <w:sz w:val="18"/>
                <w:szCs w:val="18"/>
                <w:b w:val="1"/>
                <w:bCs w:val="1"/>
                <w:color w:val="auto"/>
              </w:rPr>
              <w:t>Phoenix, Arizona</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40" w:type="dxa"/>
            <w:vAlign w:val="bottom"/>
            <w:gridSpan w:val="3"/>
          </w:tcPr>
          <w:p>
            <w:pPr>
              <w:jc w:val="right"/>
              <w:ind w:right="1510"/>
              <w:spacing w:after="0"/>
              <w:rPr>
                <w:sz w:val="20"/>
                <w:szCs w:val="20"/>
                <w:color w:val="auto"/>
              </w:rPr>
            </w:pPr>
            <w:r>
              <w:rPr>
                <w:rFonts w:ascii="Arial" w:cs="Arial" w:eastAsia="Arial" w:hAnsi="Arial"/>
                <w:sz w:val="18"/>
                <w:szCs w:val="18"/>
                <w:b w:val="1"/>
                <w:bCs w:val="1"/>
                <w:color w:val="auto"/>
              </w:rPr>
              <w:t>85034</w:t>
            </w:r>
          </w:p>
        </w:tc>
        <w:tc>
          <w:tcPr>
            <w:tcW w:w="20" w:type="dxa"/>
            <w:vAlign w:val="bottom"/>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6460" w:type="dxa"/>
            <w:vAlign w:val="bottom"/>
            <w:tcBorders>
              <w:top w:val="single" w:sz="8" w:color="auto"/>
            </w:tcBorders>
            <w:gridSpan w:val="5"/>
          </w:tcPr>
          <w:p>
            <w:pPr>
              <w:jc w:val="center"/>
              <w:ind w:left="850"/>
              <w:spacing w:after="0"/>
              <w:rPr>
                <w:sz w:val="20"/>
                <w:szCs w:val="20"/>
                <w:color w:val="auto"/>
              </w:rPr>
            </w:pPr>
            <w:r>
              <w:rPr>
                <w:rFonts w:ascii="Arial" w:cs="Arial" w:eastAsia="Arial" w:hAnsi="Arial"/>
                <w:sz w:val="18"/>
                <w:szCs w:val="18"/>
                <w:color w:val="auto"/>
                <w:w w:val="99"/>
              </w:rPr>
              <w:t>(Address of principal executive offices)</w:t>
            </w: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rPr>
              <w:t>(Zip Code)</w:t>
            </w:r>
          </w:p>
        </w:tc>
      </w:tr>
      <w:tr>
        <w:trPr>
          <w:trHeight w:val="367"/>
        </w:trPr>
        <w:tc>
          <w:tcPr>
            <w:tcW w:w="6480" w:type="dxa"/>
            <w:vAlign w:val="bottom"/>
            <w:gridSpan w:val="6"/>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601-3099</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486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20"/>
        </w:trPr>
        <w:tc>
          <w:tcPr>
            <w:tcW w:w="20" w:type="dxa"/>
            <w:vAlign w:val="bottom"/>
          </w:tcPr>
          <w:p>
            <w:pPr>
              <w:spacing w:after="0"/>
              <w:rPr>
                <w:sz w:val="24"/>
                <w:szCs w:val="24"/>
                <w:color w:val="auto"/>
              </w:rPr>
            </w:pPr>
          </w:p>
        </w:tc>
        <w:tc>
          <w:tcPr>
            <w:tcW w:w="4840" w:type="dxa"/>
            <w:vAlign w:val="bottom"/>
            <w:gridSpan w:val="3"/>
          </w:tcPr>
          <w:p>
            <w:pPr>
              <w:jc w:val="center"/>
              <w:ind w:right="160"/>
              <w:spacing w:after="0"/>
              <w:rPr>
                <w:sz w:val="20"/>
                <w:szCs w:val="20"/>
                <w:color w:val="auto"/>
              </w:rPr>
            </w:pPr>
            <w:r>
              <w:rPr>
                <w:rFonts w:ascii="Arial" w:cs="Arial" w:eastAsia="Arial" w:hAnsi="Arial"/>
                <w:sz w:val="18"/>
                <w:szCs w:val="18"/>
                <w:color w:val="auto"/>
                <w:w w:val="98"/>
              </w:rPr>
              <w:t>Title of Each Class</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Trading Symbol(s)</w:t>
            </w:r>
          </w:p>
        </w:tc>
        <w:tc>
          <w:tcPr>
            <w:tcW w:w="4760" w:type="dxa"/>
            <w:vAlign w:val="bottom"/>
            <w:gridSpan w:val="4"/>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40"/>
        </w:trPr>
        <w:tc>
          <w:tcPr>
            <w:tcW w:w="20" w:type="dxa"/>
            <w:vAlign w:val="bottom"/>
            <w:tcBorders>
              <w:top w:val="single" w:sz="8" w:color="auto"/>
            </w:tcBorders>
          </w:tcPr>
          <w:p>
            <w:pPr>
              <w:spacing w:after="0"/>
              <w:rPr>
                <w:sz w:val="20"/>
                <w:szCs w:val="20"/>
                <w:color w:val="auto"/>
              </w:rPr>
            </w:pPr>
          </w:p>
        </w:tc>
        <w:tc>
          <w:tcPr>
            <w:tcW w:w="4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HONA</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tcPr>
          <w:p>
            <w:pPr>
              <w:jc w:val="center"/>
              <w:ind w:right="950"/>
              <w:spacing w:after="0"/>
              <w:rPr>
                <w:sz w:val="20"/>
                <w:szCs w:val="20"/>
                <w:color w:val="auto"/>
              </w:rPr>
            </w:pPr>
            <w:r>
              <w:rPr>
                <w:rFonts w:ascii="Arial" w:cs="Arial" w:eastAsia="Arial" w:hAnsi="Arial"/>
                <w:sz w:val="18"/>
                <w:szCs w:val="18"/>
                <w:b w:val="1"/>
                <w:bCs w:val="1"/>
                <w:color w:val="auto"/>
                <w:w w:val="99"/>
              </w:rPr>
              <w:t>The Nasdaq Stock Market LLC</w:t>
            </w:r>
          </w:p>
        </w:tc>
        <w:tc>
          <w:tcPr>
            <w:tcW w:w="20" w:type="dxa"/>
            <w:vAlign w:val="bottom"/>
          </w:tcPr>
          <w:p>
            <w:pPr>
              <w:spacing w:after="0"/>
              <w:rPr>
                <w:sz w:val="20"/>
                <w:szCs w:val="20"/>
                <w:color w:val="auto"/>
              </w:rPr>
            </w:pPr>
          </w:p>
        </w:tc>
      </w:tr>
    </w:tbl>
    <w:p>
      <w:pPr>
        <w:spacing w:after="0" w:line="45" w:lineRule="exact"/>
        <w:rPr>
          <w:sz w:val="24"/>
          <w:szCs w:val="24"/>
          <w:color w:val="auto"/>
        </w:rPr>
      </w:pPr>
    </w:p>
    <w:p>
      <w:pPr>
        <w:jc w:val="both"/>
        <w:spacing w:after="0" w:line="23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w:t>
      </w:r>
    </w:p>
    <w:p>
      <w:pPr>
        <w:spacing w:after="0" w:line="207" w:lineRule="exact"/>
        <w:rPr>
          <w:sz w:val="20"/>
          <w:szCs w:val="20"/>
          <w:color w:val="auto"/>
        </w:rPr>
      </w:pPr>
      <w:r>
        <w:rPr>
          <w:rFonts w:ascii="Arial" w:cs="Arial" w:eastAsia="Arial" w:hAnsi="Arial"/>
          <w:sz w:val="18"/>
          <w:szCs w:val="18"/>
          <w:color w:val="auto"/>
        </w:rPr>
        <w:t xml:space="preserve">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14" w:lineRule="exact"/>
        <w:rPr>
          <w:sz w:val="24"/>
          <w:szCs w:val="24"/>
          <w:color w:val="auto"/>
        </w:rPr>
      </w:pPr>
    </w:p>
    <w:p>
      <w:pPr>
        <w:jc w:val="both"/>
        <w:spacing w:after="0" w:line="217"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6"/>
        </w:trPr>
        <w:tc>
          <w:tcPr>
            <w:tcW w:w="3300" w:type="dxa"/>
            <w:vAlign w:val="bottom"/>
          </w:tcPr>
          <w:p>
            <w:pPr>
              <w:spacing w:after="0" w:line="195" w:lineRule="exact"/>
              <w:rPr>
                <w:sz w:val="20"/>
                <w:szCs w:val="20"/>
                <w:color w:val="auto"/>
              </w:rPr>
            </w:pPr>
            <w:r>
              <w:rPr>
                <w:rFonts w:ascii="Arial" w:cs="Arial" w:eastAsia="Arial" w:hAnsi="Arial"/>
                <w:sz w:val="18"/>
                <w:szCs w:val="18"/>
                <w:color w:val="auto"/>
              </w:rPr>
              <w:t>Large accelerated filer</w:t>
            </w:r>
          </w:p>
        </w:tc>
        <w:tc>
          <w:tcPr>
            <w:tcW w:w="19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240"/>
              <w:spacing w:after="0" w:line="195" w:lineRule="exact"/>
              <w:rPr>
                <w:sz w:val="20"/>
                <w:szCs w:val="20"/>
                <w:color w:val="auto"/>
              </w:rPr>
            </w:pPr>
            <w:r>
              <w:rPr>
                <w:rFonts w:ascii="Arial" w:cs="Arial" w:eastAsia="Arial" w:hAnsi="Arial"/>
                <w:sz w:val="18"/>
                <w:szCs w:val="18"/>
                <w:color w:val="auto"/>
              </w:rPr>
              <w:t>Accelerated filer</w:t>
            </w:r>
          </w:p>
        </w:tc>
        <w:tc>
          <w:tcPr>
            <w:tcW w:w="150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Non-accelerated filer</w:t>
            </w:r>
          </w:p>
        </w:tc>
        <w:tc>
          <w:tcPr>
            <w:tcW w:w="19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240"/>
              <w:spacing w:after="0"/>
              <w:rPr>
                <w:sz w:val="20"/>
                <w:szCs w:val="20"/>
                <w:color w:val="auto"/>
              </w:rPr>
            </w:pPr>
            <w:r>
              <w:rPr>
                <w:rFonts w:ascii="Arial" w:cs="Arial" w:eastAsia="Arial" w:hAnsi="Arial"/>
                <w:sz w:val="18"/>
                <w:szCs w:val="18"/>
                <w:color w:val="auto"/>
              </w:rPr>
              <w:t>Smaller reporting company</w:t>
            </w:r>
          </w:p>
        </w:tc>
        <w:tc>
          <w:tcPr>
            <w:tcW w:w="150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Emerging growth company</w:t>
            </w:r>
          </w:p>
        </w:tc>
        <w:tc>
          <w:tcPr>
            <w:tcW w:w="150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4" w:lineRule="exact"/>
        <w:rPr>
          <w:sz w:val="24"/>
          <w:szCs w:val="24"/>
          <w:color w:val="auto"/>
        </w:rPr>
      </w:pPr>
    </w:p>
    <w:p>
      <w:pPr>
        <w:ind w:right="2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120"/>
        <w:spacing w:after="0" w:line="25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There were 317,031,836 shares of Common Stock outstanding as of September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 w:type="dxa"/>
            <w:vAlign w:val="bottom"/>
            <w:tcBorders>
              <w:bottom w:val="single" w:sz="8" w:color="FF4400"/>
            </w:tcBorders>
          </w:tcPr>
          <w:p>
            <w:pPr>
              <w:spacing w:after="0"/>
              <w:rPr>
                <w:sz w:val="17"/>
                <w:szCs w:val="17"/>
                <w:color w:val="auto"/>
              </w:rPr>
            </w:pPr>
          </w:p>
        </w:tc>
        <w:tc>
          <w:tcPr>
            <w:tcW w:w="8580" w:type="dxa"/>
            <w:vAlign w:val="bottom"/>
            <w:tcBorders>
              <w:bottom w:val="single" w:sz="8" w:color="FF4400"/>
            </w:tcBorders>
          </w:tcPr>
          <w:p>
            <w:pPr>
              <w:spacing w:after="0"/>
              <w:rPr>
                <w:sz w:val="17"/>
                <w:szCs w:val="17"/>
                <w:color w:val="auto"/>
              </w:rPr>
            </w:pPr>
          </w:p>
        </w:tc>
        <w:tc>
          <w:tcPr>
            <w:tcW w:w="1860" w:type="dxa"/>
            <w:vAlign w:val="bottom"/>
            <w:tcBorders>
              <w:bottom w:val="single" w:sz="8" w:color="FF4400"/>
            </w:tcBorders>
            <w:gridSpan w:val="5"/>
          </w:tcPr>
          <w:p>
            <w:pPr>
              <w:jc w:val="right"/>
              <w:ind w:right="160"/>
              <w:spacing w:after="0"/>
              <w:rPr>
                <w:sz w:val="20"/>
                <w:szCs w:val="20"/>
                <w:color w:val="auto"/>
              </w:rPr>
            </w:pPr>
            <w:r>
              <w:rPr>
                <w:rFonts w:ascii="Arial" w:cs="Arial" w:eastAsia="Arial" w:hAnsi="Arial"/>
                <w:sz w:val="14"/>
                <w:szCs w:val="14"/>
                <w:b w:val="1"/>
                <w:bCs w:val="1"/>
                <w:color w:val="auto"/>
              </w:rPr>
              <w:t>Page</w:t>
            </w:r>
          </w:p>
        </w:tc>
      </w:tr>
      <w:tr>
        <w:trPr>
          <w:trHeight w:val="184"/>
        </w:trPr>
        <w:tc>
          <w:tcPr>
            <w:tcW w:w="800" w:type="dxa"/>
            <w:vAlign w:val="bottom"/>
          </w:tcPr>
          <w:p>
            <w:pPr>
              <w:spacing w:after="0"/>
              <w:rPr>
                <w:sz w:val="15"/>
                <w:szCs w:val="15"/>
                <w:color w:val="auto"/>
              </w:rPr>
            </w:pPr>
          </w:p>
        </w:tc>
        <w:tc>
          <w:tcPr>
            <w:tcW w:w="8580" w:type="dxa"/>
            <w:vAlign w:val="bottom"/>
          </w:tcPr>
          <w:p>
            <w:pPr>
              <w:ind w:left="160"/>
              <w:spacing w:after="0" w:line="183" w:lineRule="exact"/>
              <w:rPr>
                <w:sz w:val="20"/>
                <w:szCs w:val="20"/>
                <w:color w:val="auto"/>
              </w:rPr>
            </w:pPr>
            <w:r>
              <w:rPr>
                <w:rFonts w:ascii="Arial" w:cs="Arial" w:eastAsia="Arial" w:hAnsi="Arial"/>
                <w:sz w:val="18"/>
                <w:szCs w:val="18"/>
                <w:color w:val="auto"/>
              </w:rPr>
              <w:t>Cautionary Note Regarding Forward-Looking Statements</w:t>
            </w:r>
          </w:p>
        </w:tc>
        <w:tc>
          <w:tcPr>
            <w:tcW w:w="1860" w:type="dxa"/>
            <w:vAlign w:val="bottom"/>
            <w:gridSpan w:val="5"/>
          </w:tcPr>
          <w:p>
            <w:pPr>
              <w:jc w:val="right"/>
              <w:ind w:right="20"/>
              <w:spacing w:after="0" w:line="183" w:lineRule="exact"/>
              <w:rPr>
                <w:sz w:val="20"/>
                <w:szCs w:val="20"/>
                <w:color w:val="auto"/>
              </w:rPr>
            </w:pPr>
            <w:r>
              <w:rPr>
                <w:rFonts w:ascii="Arial" w:cs="Arial" w:eastAsia="Arial" w:hAnsi="Arial"/>
                <w:sz w:val="18"/>
                <w:szCs w:val="18"/>
                <w:color w:val="0000FF"/>
              </w:rPr>
              <w:t>1</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About Honeywell Aerospace Inc.</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3</w:t>
            </w:r>
          </w:p>
        </w:tc>
      </w:tr>
      <w:tr>
        <w:trPr>
          <w:trHeight w:val="21"/>
        </w:trPr>
        <w:tc>
          <w:tcPr>
            <w:tcW w:w="800" w:type="dxa"/>
            <w:vAlign w:val="bottom"/>
            <w:tcBorders>
              <w:bottom w:val="single" w:sz="8" w:color="384348"/>
            </w:tcBorders>
          </w:tcPr>
          <w:p>
            <w:pPr>
              <w:spacing w:after="0" w:line="20" w:lineRule="exact"/>
              <w:rPr>
                <w:sz w:val="1"/>
                <w:szCs w:val="1"/>
                <w:color w:val="auto"/>
              </w:rPr>
            </w:pPr>
          </w:p>
        </w:tc>
        <w:tc>
          <w:tcPr>
            <w:tcW w:w="8580" w:type="dxa"/>
            <w:vAlign w:val="bottom"/>
            <w:tcBorders>
              <w:bottom w:val="single" w:sz="8" w:color="384348"/>
            </w:tcBorders>
          </w:tcPr>
          <w:p>
            <w:pPr>
              <w:spacing w:after="0" w:line="20" w:lineRule="exact"/>
              <w:rPr>
                <w:sz w:val="1"/>
                <w:szCs w:val="1"/>
                <w:color w:val="auto"/>
              </w:rPr>
            </w:pPr>
          </w:p>
        </w:tc>
        <w:tc>
          <w:tcPr>
            <w:tcW w:w="1640" w:type="dxa"/>
            <w:vAlign w:val="bottom"/>
            <w:tcBorders>
              <w:bottom w:val="single" w:sz="8" w:color="384348"/>
            </w:tcBorders>
          </w:tcPr>
          <w:p>
            <w:pPr>
              <w:spacing w:after="0" w:line="20" w:lineRule="exact"/>
              <w:rPr>
                <w:sz w:val="1"/>
                <w:szCs w:val="1"/>
                <w:color w:val="auto"/>
              </w:rPr>
            </w:pPr>
          </w:p>
        </w:tc>
        <w:tc>
          <w:tcPr>
            <w:tcW w:w="20" w:type="dxa"/>
            <w:vAlign w:val="bottom"/>
            <w:tcBorders>
              <w:bottom w:val="single" w:sz="8" w:color="384348"/>
            </w:tcBorders>
          </w:tcPr>
          <w:p>
            <w:pPr>
              <w:spacing w:after="0" w:line="20" w:lineRule="exact"/>
              <w:rPr>
                <w:sz w:val="1"/>
                <w:szCs w:val="1"/>
                <w:color w:val="auto"/>
              </w:rPr>
            </w:pPr>
          </w:p>
        </w:tc>
        <w:tc>
          <w:tcPr>
            <w:tcW w:w="80" w:type="dxa"/>
            <w:vAlign w:val="bottom"/>
            <w:tcBorders>
              <w:bottom w:val="single" w:sz="8" w:color="384348"/>
            </w:tcBorders>
          </w:tcPr>
          <w:p>
            <w:pPr>
              <w:spacing w:after="0" w:line="20" w:lineRule="exact"/>
              <w:rPr>
                <w:sz w:val="1"/>
                <w:szCs w:val="1"/>
                <w:color w:val="auto"/>
              </w:rPr>
            </w:pPr>
          </w:p>
        </w:tc>
        <w:tc>
          <w:tcPr>
            <w:tcW w:w="100" w:type="dxa"/>
            <w:vAlign w:val="bottom"/>
            <w:tcBorders>
              <w:top w:val="single" w:sz="8" w:color="0000FF"/>
              <w:bottom w:val="single" w:sz="8" w:color="384348"/>
            </w:tcBorders>
          </w:tcPr>
          <w:p>
            <w:pPr>
              <w:spacing w:after="0" w:line="20" w:lineRule="exact"/>
              <w:rPr>
                <w:sz w:val="1"/>
                <w:szCs w:val="1"/>
                <w:color w:val="auto"/>
              </w:rPr>
            </w:pPr>
          </w:p>
        </w:tc>
        <w:tc>
          <w:tcPr>
            <w:tcW w:w="20" w:type="dxa"/>
            <w:vAlign w:val="bottom"/>
            <w:tcBorders>
              <w:bottom w:val="single" w:sz="8" w:color="384348"/>
            </w:tcBorders>
          </w:tcPr>
          <w:p>
            <w:pPr>
              <w:spacing w:after="0" w:line="20" w:lineRule="exact"/>
              <w:rPr>
                <w:sz w:val="1"/>
                <w:szCs w:val="1"/>
                <w:color w:val="auto"/>
              </w:rPr>
            </w:pPr>
          </w:p>
        </w:tc>
      </w:tr>
      <w:tr>
        <w:trPr>
          <w:trHeight w:val="183"/>
        </w:trPr>
        <w:tc>
          <w:tcPr>
            <w:tcW w:w="8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Part I</w:t>
            </w:r>
          </w:p>
        </w:tc>
        <w:tc>
          <w:tcPr>
            <w:tcW w:w="8580" w:type="dxa"/>
            <w:vAlign w:val="bottom"/>
          </w:tcPr>
          <w:p>
            <w:pPr>
              <w:ind w:left="160"/>
              <w:spacing w:after="0" w:line="182" w:lineRule="exact"/>
              <w:rPr>
                <w:sz w:val="20"/>
                <w:szCs w:val="20"/>
                <w:color w:val="auto"/>
              </w:rPr>
            </w:pPr>
            <w:r>
              <w:rPr>
                <w:rFonts w:ascii="Arial" w:cs="Arial" w:eastAsia="Arial" w:hAnsi="Arial"/>
                <w:sz w:val="18"/>
                <w:szCs w:val="18"/>
                <w:b w:val="1"/>
                <w:bCs w:val="1"/>
                <w:color w:val="auto"/>
              </w:rPr>
              <w:t>Financial Information</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4</w:t>
            </w:r>
          </w:p>
        </w:tc>
      </w:tr>
      <w:tr>
        <w:trPr>
          <w:trHeight w:val="20"/>
        </w:trPr>
        <w:tc>
          <w:tcPr>
            <w:tcW w:w="800" w:type="dxa"/>
            <w:vAlign w:val="bottom"/>
            <w:tcBorders>
              <w:bottom w:val="single" w:sz="8" w:color="384348"/>
            </w:tcBorders>
          </w:tcPr>
          <w:p>
            <w:pPr>
              <w:spacing w:after="0" w:line="20" w:lineRule="exact"/>
              <w:rPr>
                <w:sz w:val="1"/>
                <w:szCs w:val="1"/>
                <w:color w:val="auto"/>
              </w:rPr>
            </w:pPr>
          </w:p>
        </w:tc>
        <w:tc>
          <w:tcPr>
            <w:tcW w:w="8580" w:type="dxa"/>
            <w:vAlign w:val="bottom"/>
            <w:tcBorders>
              <w:bottom w:val="single" w:sz="8" w:color="384348"/>
            </w:tcBorders>
          </w:tcPr>
          <w:p>
            <w:pPr>
              <w:spacing w:after="0" w:line="20" w:lineRule="exact"/>
              <w:rPr>
                <w:sz w:val="1"/>
                <w:szCs w:val="1"/>
                <w:color w:val="auto"/>
              </w:rPr>
            </w:pPr>
          </w:p>
        </w:tc>
        <w:tc>
          <w:tcPr>
            <w:tcW w:w="1640" w:type="dxa"/>
            <w:vAlign w:val="bottom"/>
            <w:tcBorders>
              <w:bottom w:val="single" w:sz="8" w:color="384348"/>
            </w:tcBorders>
          </w:tcPr>
          <w:p>
            <w:pPr>
              <w:spacing w:after="0" w:line="20" w:lineRule="exact"/>
              <w:rPr>
                <w:sz w:val="1"/>
                <w:szCs w:val="1"/>
                <w:color w:val="auto"/>
              </w:rPr>
            </w:pPr>
          </w:p>
        </w:tc>
        <w:tc>
          <w:tcPr>
            <w:tcW w:w="20" w:type="dxa"/>
            <w:vAlign w:val="bottom"/>
            <w:tcBorders>
              <w:bottom w:val="single" w:sz="8" w:color="384348"/>
            </w:tcBorders>
          </w:tcPr>
          <w:p>
            <w:pPr>
              <w:spacing w:after="0" w:line="20" w:lineRule="exact"/>
              <w:rPr>
                <w:sz w:val="1"/>
                <w:szCs w:val="1"/>
                <w:color w:val="auto"/>
              </w:rPr>
            </w:pPr>
          </w:p>
        </w:tc>
        <w:tc>
          <w:tcPr>
            <w:tcW w:w="80" w:type="dxa"/>
            <w:vAlign w:val="bottom"/>
            <w:tcBorders>
              <w:bottom w:val="single" w:sz="8" w:color="384348"/>
            </w:tcBorders>
          </w:tcPr>
          <w:p>
            <w:pPr>
              <w:spacing w:after="0" w:line="20" w:lineRule="exact"/>
              <w:rPr>
                <w:sz w:val="1"/>
                <w:szCs w:val="1"/>
                <w:color w:val="auto"/>
              </w:rPr>
            </w:pPr>
          </w:p>
        </w:tc>
        <w:tc>
          <w:tcPr>
            <w:tcW w:w="100" w:type="dxa"/>
            <w:vAlign w:val="bottom"/>
            <w:tcBorders>
              <w:top w:val="single" w:sz="8" w:color="0000FF"/>
              <w:bottom w:val="single" w:sz="8" w:color="384348"/>
            </w:tcBorders>
          </w:tcPr>
          <w:p>
            <w:pPr>
              <w:spacing w:after="0" w:line="20" w:lineRule="exact"/>
              <w:rPr>
                <w:sz w:val="1"/>
                <w:szCs w:val="1"/>
                <w:color w:val="auto"/>
              </w:rPr>
            </w:pPr>
          </w:p>
        </w:tc>
        <w:tc>
          <w:tcPr>
            <w:tcW w:w="20" w:type="dxa"/>
            <w:vAlign w:val="bottom"/>
            <w:tcBorders>
              <w:bottom w:val="single" w:sz="8" w:color="384348"/>
            </w:tcBorders>
          </w:tcPr>
          <w:p>
            <w:pPr>
              <w:spacing w:after="0" w:line="20" w:lineRule="exact"/>
              <w:rPr>
                <w:sz w:val="1"/>
                <w:szCs w:val="1"/>
                <w:color w:val="auto"/>
              </w:rPr>
            </w:pPr>
          </w:p>
        </w:tc>
      </w:tr>
      <w:tr>
        <w:trPr>
          <w:trHeight w:val="183"/>
        </w:trPr>
        <w:tc>
          <w:tcPr>
            <w:tcW w:w="800" w:type="dxa"/>
            <w:vAlign w:val="bottom"/>
          </w:tcPr>
          <w:p>
            <w:pPr>
              <w:ind w:left="20"/>
              <w:spacing w:after="0" w:line="182" w:lineRule="exact"/>
              <w:rPr>
                <w:sz w:val="20"/>
                <w:szCs w:val="20"/>
                <w:color w:val="auto"/>
              </w:rPr>
            </w:pPr>
            <w:r>
              <w:rPr>
                <w:rFonts w:ascii="Arial" w:cs="Arial" w:eastAsia="Arial" w:hAnsi="Arial"/>
                <w:sz w:val="18"/>
                <w:szCs w:val="18"/>
                <w:color w:val="auto"/>
              </w:rPr>
              <w:t>Item 1</w:t>
            </w: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Financial Statements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4</w:t>
            </w:r>
          </w:p>
        </w:tc>
      </w:tr>
      <w:tr>
        <w:trPr>
          <w:trHeight w:val="21"/>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Condensed Consolidated Statements of Operations (unaudited)</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4</w:t>
            </w:r>
          </w:p>
        </w:tc>
      </w:tr>
      <w:tr>
        <w:trPr>
          <w:trHeight w:val="21"/>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2"/>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5</w:t>
            </w:r>
          </w:p>
        </w:tc>
      </w:tr>
      <w:tr>
        <w:trPr>
          <w:trHeight w:val="21"/>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Condensed Consolidated Balance Sheets (unaudited)</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6</w:t>
            </w:r>
          </w:p>
        </w:tc>
      </w:tr>
      <w:tr>
        <w:trPr>
          <w:trHeight w:val="21"/>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Condensed Consolidated Statements of Cash Flows (unaudited)</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7</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Condensed Consolidated Statements of Equity (unaudited)</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8</w:t>
            </w:r>
          </w:p>
        </w:tc>
      </w:tr>
      <w:tr>
        <w:trPr>
          <w:trHeight w:val="21"/>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Notes to the Condensed Consolidated Financial Statements (unaudited)</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10</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1. Organization and Basis of Presentation</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10</w:t>
            </w:r>
          </w:p>
        </w:tc>
      </w:tr>
      <w:tr>
        <w:trPr>
          <w:trHeight w:val="21"/>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2. Summary of Significant Accounting Policies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11</w:t>
            </w:r>
          </w:p>
        </w:tc>
      </w:tr>
      <w:tr>
        <w:trPr>
          <w:trHeight w:val="21"/>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3. Related Party Transactions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12</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4. Revenue Recognition from Contracts with Customers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14</w:t>
            </w:r>
          </w:p>
        </w:tc>
      </w:tr>
      <w:tr>
        <w:trPr>
          <w:trHeight w:val="21"/>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5. Other (Income) Expense, Net</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16</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6. Income Taxes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16</w:t>
            </w:r>
          </w:p>
        </w:tc>
      </w:tr>
      <w:tr>
        <w:trPr>
          <w:trHeight w:val="21"/>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7. Inventories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16</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8. Other Intangible Assets, Net</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17</w:t>
            </w:r>
          </w:p>
        </w:tc>
      </w:tr>
      <w:tr>
        <w:trPr>
          <w:trHeight w:val="21"/>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9. Debt and Credit Agreements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17</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10. Leases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19</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11. Accrued Liabilities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19</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12. Stock-Based Compensation Plans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20</w:t>
            </w:r>
          </w:p>
        </w:tc>
      </w:tr>
      <w:tr>
        <w:trPr>
          <w:trHeight w:val="21"/>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13. Earnings Per Share</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23</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14. Accumulated Other Comprehensive Loss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23</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15. Pension Plans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24</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16. Commitments and Contingencies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28</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17. Segment Financial Data</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30</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Note 18. Subsequent Event</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32</w:t>
            </w:r>
          </w:p>
        </w:tc>
      </w:tr>
      <w:tr>
        <w:trPr>
          <w:trHeight w:val="21"/>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ind w:left="20"/>
              <w:spacing w:after="0" w:line="182" w:lineRule="exact"/>
              <w:rPr>
                <w:sz w:val="20"/>
                <w:szCs w:val="20"/>
                <w:color w:val="auto"/>
              </w:rPr>
            </w:pPr>
            <w:r>
              <w:rPr>
                <w:rFonts w:ascii="Arial" w:cs="Arial" w:eastAsia="Arial" w:hAnsi="Arial"/>
                <w:sz w:val="18"/>
                <w:szCs w:val="18"/>
                <w:color w:val="auto"/>
              </w:rPr>
              <w:t>Item 2</w:t>
            </w: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33</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ind w:left="20"/>
              <w:spacing w:after="0" w:line="182" w:lineRule="exact"/>
              <w:rPr>
                <w:sz w:val="20"/>
                <w:szCs w:val="20"/>
                <w:color w:val="auto"/>
              </w:rPr>
            </w:pPr>
            <w:r>
              <w:rPr>
                <w:rFonts w:ascii="Arial" w:cs="Arial" w:eastAsia="Arial" w:hAnsi="Arial"/>
                <w:sz w:val="18"/>
                <w:szCs w:val="18"/>
                <w:color w:val="auto"/>
              </w:rPr>
              <w:t>Item 3</w:t>
            </w: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Quantitative and Qualitative Disclosures About Market Risk</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54</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ind w:left="20"/>
              <w:spacing w:after="0" w:line="182" w:lineRule="exact"/>
              <w:rPr>
                <w:sz w:val="20"/>
                <w:szCs w:val="20"/>
                <w:color w:val="auto"/>
              </w:rPr>
            </w:pPr>
            <w:r>
              <w:rPr>
                <w:rFonts w:ascii="Arial" w:cs="Arial" w:eastAsia="Arial" w:hAnsi="Arial"/>
                <w:sz w:val="18"/>
                <w:szCs w:val="18"/>
                <w:color w:val="auto"/>
              </w:rPr>
              <w:t>Item 4</w:t>
            </w: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Controls and Procedures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54</w:t>
            </w:r>
          </w:p>
        </w:tc>
      </w:tr>
      <w:tr>
        <w:trPr>
          <w:trHeight w:val="20"/>
        </w:trPr>
        <w:tc>
          <w:tcPr>
            <w:tcW w:w="800" w:type="dxa"/>
            <w:vAlign w:val="bottom"/>
            <w:tcBorders>
              <w:bottom w:val="single" w:sz="8" w:color="384348"/>
            </w:tcBorders>
          </w:tcPr>
          <w:p>
            <w:pPr>
              <w:spacing w:after="0" w:line="20" w:lineRule="exact"/>
              <w:rPr>
                <w:sz w:val="1"/>
                <w:szCs w:val="1"/>
                <w:color w:val="auto"/>
              </w:rPr>
            </w:pPr>
          </w:p>
        </w:tc>
        <w:tc>
          <w:tcPr>
            <w:tcW w:w="8580" w:type="dxa"/>
            <w:vAlign w:val="bottom"/>
            <w:tcBorders>
              <w:bottom w:val="single" w:sz="8" w:color="384348"/>
            </w:tcBorders>
          </w:tcPr>
          <w:p>
            <w:pPr>
              <w:spacing w:after="0" w:line="20" w:lineRule="exact"/>
              <w:rPr>
                <w:sz w:val="1"/>
                <w:szCs w:val="1"/>
                <w:color w:val="auto"/>
              </w:rPr>
            </w:pPr>
          </w:p>
        </w:tc>
        <w:tc>
          <w:tcPr>
            <w:tcW w:w="1640" w:type="dxa"/>
            <w:vAlign w:val="bottom"/>
            <w:tcBorders>
              <w:bottom w:val="single" w:sz="8" w:color="384348"/>
            </w:tcBorders>
          </w:tcPr>
          <w:p>
            <w:pPr>
              <w:spacing w:after="0" w:line="20" w:lineRule="exact"/>
              <w:rPr>
                <w:sz w:val="1"/>
                <w:szCs w:val="1"/>
                <w:color w:val="auto"/>
              </w:rPr>
            </w:pPr>
          </w:p>
        </w:tc>
        <w:tc>
          <w:tcPr>
            <w:tcW w:w="20" w:type="dxa"/>
            <w:vAlign w:val="bottom"/>
            <w:tcBorders>
              <w:top w:val="single" w:sz="8" w:color="0000FF"/>
              <w:bottom w:val="single" w:sz="8" w:color="384348"/>
            </w:tcBorders>
          </w:tcPr>
          <w:p>
            <w:pPr>
              <w:spacing w:after="0" w:line="20" w:lineRule="exact"/>
              <w:rPr>
                <w:sz w:val="1"/>
                <w:szCs w:val="1"/>
                <w:color w:val="auto"/>
              </w:rPr>
            </w:pPr>
          </w:p>
        </w:tc>
        <w:tc>
          <w:tcPr>
            <w:tcW w:w="80" w:type="dxa"/>
            <w:vAlign w:val="bottom"/>
            <w:tcBorders>
              <w:top w:val="single" w:sz="8" w:color="0000FF"/>
              <w:bottom w:val="single" w:sz="8" w:color="384348"/>
            </w:tcBorders>
          </w:tcPr>
          <w:p>
            <w:pPr>
              <w:spacing w:after="0" w:line="20" w:lineRule="exact"/>
              <w:rPr>
                <w:sz w:val="1"/>
                <w:szCs w:val="1"/>
                <w:color w:val="auto"/>
              </w:rPr>
            </w:pPr>
          </w:p>
        </w:tc>
        <w:tc>
          <w:tcPr>
            <w:tcW w:w="100" w:type="dxa"/>
            <w:vAlign w:val="bottom"/>
            <w:tcBorders>
              <w:top w:val="single" w:sz="8" w:color="0000FF"/>
              <w:bottom w:val="single" w:sz="8" w:color="384348"/>
            </w:tcBorders>
          </w:tcPr>
          <w:p>
            <w:pPr>
              <w:spacing w:after="0" w:line="20" w:lineRule="exact"/>
              <w:rPr>
                <w:sz w:val="1"/>
                <w:szCs w:val="1"/>
                <w:color w:val="auto"/>
              </w:rPr>
            </w:pPr>
          </w:p>
        </w:tc>
        <w:tc>
          <w:tcPr>
            <w:tcW w:w="20" w:type="dxa"/>
            <w:vAlign w:val="bottom"/>
            <w:tcBorders>
              <w:bottom w:val="single" w:sz="8" w:color="384348"/>
            </w:tcBorders>
          </w:tcPr>
          <w:p>
            <w:pPr>
              <w:spacing w:after="0" w:line="20" w:lineRule="exact"/>
              <w:rPr>
                <w:sz w:val="1"/>
                <w:szCs w:val="1"/>
                <w:color w:val="auto"/>
              </w:rPr>
            </w:pPr>
          </w:p>
        </w:tc>
      </w:tr>
      <w:tr>
        <w:trPr>
          <w:trHeight w:val="183"/>
        </w:trPr>
        <w:tc>
          <w:tcPr>
            <w:tcW w:w="8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Part II</w:t>
            </w:r>
          </w:p>
        </w:tc>
        <w:tc>
          <w:tcPr>
            <w:tcW w:w="8580" w:type="dxa"/>
            <w:vAlign w:val="bottom"/>
          </w:tcPr>
          <w:p>
            <w:pPr>
              <w:ind w:left="160"/>
              <w:spacing w:after="0" w:line="182" w:lineRule="exact"/>
              <w:rPr>
                <w:sz w:val="20"/>
                <w:szCs w:val="20"/>
                <w:color w:val="auto"/>
              </w:rPr>
            </w:pPr>
            <w:r>
              <w:rPr>
                <w:rFonts w:ascii="Arial" w:cs="Arial" w:eastAsia="Arial" w:hAnsi="Arial"/>
                <w:sz w:val="18"/>
                <w:szCs w:val="18"/>
                <w:b w:val="1"/>
                <w:bCs w:val="1"/>
                <w:color w:val="auto"/>
              </w:rPr>
              <w:t>Other Information</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55</w:t>
            </w:r>
          </w:p>
        </w:tc>
      </w:tr>
      <w:tr>
        <w:trPr>
          <w:trHeight w:val="20"/>
        </w:trPr>
        <w:tc>
          <w:tcPr>
            <w:tcW w:w="800" w:type="dxa"/>
            <w:vAlign w:val="bottom"/>
            <w:tcBorders>
              <w:bottom w:val="single" w:sz="8" w:color="384348"/>
            </w:tcBorders>
          </w:tcPr>
          <w:p>
            <w:pPr>
              <w:spacing w:after="0" w:line="20" w:lineRule="exact"/>
              <w:rPr>
                <w:sz w:val="1"/>
                <w:szCs w:val="1"/>
                <w:color w:val="auto"/>
              </w:rPr>
            </w:pPr>
          </w:p>
        </w:tc>
        <w:tc>
          <w:tcPr>
            <w:tcW w:w="8580" w:type="dxa"/>
            <w:vAlign w:val="bottom"/>
            <w:tcBorders>
              <w:bottom w:val="single" w:sz="8" w:color="384348"/>
            </w:tcBorders>
          </w:tcPr>
          <w:p>
            <w:pPr>
              <w:spacing w:after="0" w:line="20" w:lineRule="exact"/>
              <w:rPr>
                <w:sz w:val="1"/>
                <w:szCs w:val="1"/>
                <w:color w:val="auto"/>
              </w:rPr>
            </w:pPr>
          </w:p>
        </w:tc>
        <w:tc>
          <w:tcPr>
            <w:tcW w:w="1640" w:type="dxa"/>
            <w:vAlign w:val="bottom"/>
            <w:tcBorders>
              <w:bottom w:val="single" w:sz="8" w:color="384348"/>
            </w:tcBorders>
          </w:tcPr>
          <w:p>
            <w:pPr>
              <w:spacing w:after="0" w:line="20" w:lineRule="exact"/>
              <w:rPr>
                <w:sz w:val="1"/>
                <w:szCs w:val="1"/>
                <w:color w:val="auto"/>
              </w:rPr>
            </w:pPr>
          </w:p>
        </w:tc>
        <w:tc>
          <w:tcPr>
            <w:tcW w:w="20" w:type="dxa"/>
            <w:vAlign w:val="bottom"/>
            <w:tcBorders>
              <w:top w:val="single" w:sz="8" w:color="0000FF"/>
              <w:bottom w:val="single" w:sz="8" w:color="384348"/>
            </w:tcBorders>
          </w:tcPr>
          <w:p>
            <w:pPr>
              <w:spacing w:after="0" w:line="20" w:lineRule="exact"/>
              <w:rPr>
                <w:sz w:val="1"/>
                <w:szCs w:val="1"/>
                <w:color w:val="auto"/>
              </w:rPr>
            </w:pPr>
          </w:p>
        </w:tc>
        <w:tc>
          <w:tcPr>
            <w:tcW w:w="80" w:type="dxa"/>
            <w:vAlign w:val="bottom"/>
            <w:tcBorders>
              <w:top w:val="single" w:sz="8" w:color="0000FF"/>
              <w:bottom w:val="single" w:sz="8" w:color="384348"/>
            </w:tcBorders>
          </w:tcPr>
          <w:p>
            <w:pPr>
              <w:spacing w:after="0" w:line="20" w:lineRule="exact"/>
              <w:rPr>
                <w:sz w:val="1"/>
                <w:szCs w:val="1"/>
                <w:color w:val="auto"/>
              </w:rPr>
            </w:pPr>
          </w:p>
        </w:tc>
        <w:tc>
          <w:tcPr>
            <w:tcW w:w="100" w:type="dxa"/>
            <w:vAlign w:val="bottom"/>
            <w:tcBorders>
              <w:top w:val="single" w:sz="8" w:color="0000FF"/>
              <w:bottom w:val="single" w:sz="8" w:color="384348"/>
            </w:tcBorders>
          </w:tcPr>
          <w:p>
            <w:pPr>
              <w:spacing w:after="0" w:line="20" w:lineRule="exact"/>
              <w:rPr>
                <w:sz w:val="1"/>
                <w:szCs w:val="1"/>
                <w:color w:val="auto"/>
              </w:rPr>
            </w:pPr>
          </w:p>
        </w:tc>
        <w:tc>
          <w:tcPr>
            <w:tcW w:w="20" w:type="dxa"/>
            <w:vAlign w:val="bottom"/>
            <w:tcBorders>
              <w:bottom w:val="single" w:sz="8" w:color="384348"/>
            </w:tcBorders>
          </w:tcPr>
          <w:p>
            <w:pPr>
              <w:spacing w:after="0" w:line="20" w:lineRule="exact"/>
              <w:rPr>
                <w:sz w:val="1"/>
                <w:szCs w:val="1"/>
                <w:color w:val="auto"/>
              </w:rPr>
            </w:pPr>
          </w:p>
        </w:tc>
      </w:tr>
      <w:tr>
        <w:trPr>
          <w:trHeight w:val="183"/>
        </w:trPr>
        <w:tc>
          <w:tcPr>
            <w:tcW w:w="800" w:type="dxa"/>
            <w:vAlign w:val="bottom"/>
          </w:tcPr>
          <w:p>
            <w:pPr>
              <w:ind w:left="20"/>
              <w:spacing w:after="0" w:line="182" w:lineRule="exact"/>
              <w:rPr>
                <w:sz w:val="20"/>
                <w:szCs w:val="20"/>
                <w:color w:val="auto"/>
              </w:rPr>
            </w:pPr>
            <w:r>
              <w:rPr>
                <w:rFonts w:ascii="Arial" w:cs="Arial" w:eastAsia="Arial" w:hAnsi="Arial"/>
                <w:sz w:val="18"/>
                <w:szCs w:val="18"/>
                <w:color w:val="auto"/>
              </w:rPr>
              <w:t>Item 1</w:t>
            </w: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Legal Proceedings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55</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ind w:left="20"/>
              <w:spacing w:after="0" w:line="182" w:lineRule="exact"/>
              <w:rPr>
                <w:sz w:val="20"/>
                <w:szCs w:val="20"/>
                <w:color w:val="auto"/>
              </w:rPr>
            </w:pPr>
            <w:r>
              <w:rPr>
                <w:rFonts w:ascii="Arial" w:cs="Arial" w:eastAsia="Arial" w:hAnsi="Arial"/>
                <w:sz w:val="18"/>
                <w:szCs w:val="18"/>
                <w:color w:val="auto"/>
              </w:rPr>
              <w:t>Item 1A</w:t>
            </w: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Risk Factors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55</w:t>
            </w:r>
          </w:p>
        </w:tc>
      </w:tr>
      <w:tr>
        <w:trPr>
          <w:trHeight w:val="21"/>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2"/>
        </w:trPr>
        <w:tc>
          <w:tcPr>
            <w:tcW w:w="800" w:type="dxa"/>
            <w:vAlign w:val="bottom"/>
          </w:tcPr>
          <w:p>
            <w:pPr>
              <w:ind w:left="20"/>
              <w:spacing w:after="0" w:line="182" w:lineRule="exact"/>
              <w:rPr>
                <w:sz w:val="20"/>
                <w:szCs w:val="20"/>
                <w:color w:val="auto"/>
              </w:rPr>
            </w:pPr>
            <w:r>
              <w:rPr>
                <w:rFonts w:ascii="Arial" w:cs="Arial" w:eastAsia="Arial" w:hAnsi="Arial"/>
                <w:sz w:val="18"/>
                <w:szCs w:val="18"/>
                <w:color w:val="auto"/>
              </w:rPr>
              <w:t>Item 2</w:t>
            </w: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Unregistered Sales of Equity Securities and Use of Proceeds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55</w:t>
            </w:r>
          </w:p>
        </w:tc>
      </w:tr>
      <w:tr>
        <w:trPr>
          <w:trHeight w:val="21"/>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ind w:left="20"/>
              <w:spacing w:after="0" w:line="182" w:lineRule="exact"/>
              <w:rPr>
                <w:sz w:val="20"/>
                <w:szCs w:val="20"/>
                <w:color w:val="auto"/>
              </w:rPr>
            </w:pPr>
            <w:r>
              <w:rPr>
                <w:rFonts w:ascii="Arial" w:cs="Arial" w:eastAsia="Arial" w:hAnsi="Arial"/>
                <w:sz w:val="18"/>
                <w:szCs w:val="18"/>
                <w:color w:val="auto"/>
              </w:rPr>
              <w:t>Item 3</w:t>
            </w: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Defaults Upon Senior Securities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56</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ind w:left="20"/>
              <w:spacing w:after="0" w:line="182" w:lineRule="exact"/>
              <w:rPr>
                <w:sz w:val="20"/>
                <w:szCs w:val="20"/>
                <w:color w:val="auto"/>
              </w:rPr>
            </w:pPr>
            <w:r>
              <w:rPr>
                <w:rFonts w:ascii="Arial" w:cs="Arial" w:eastAsia="Arial" w:hAnsi="Arial"/>
                <w:sz w:val="18"/>
                <w:szCs w:val="18"/>
                <w:color w:val="auto"/>
              </w:rPr>
              <w:t>Item 4</w:t>
            </w: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Mine Safety Disclosures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56</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ind w:left="20"/>
              <w:spacing w:after="0" w:line="182" w:lineRule="exact"/>
              <w:rPr>
                <w:sz w:val="20"/>
                <w:szCs w:val="20"/>
                <w:color w:val="auto"/>
              </w:rPr>
            </w:pPr>
            <w:r>
              <w:rPr>
                <w:rFonts w:ascii="Arial" w:cs="Arial" w:eastAsia="Arial" w:hAnsi="Arial"/>
                <w:sz w:val="18"/>
                <w:szCs w:val="18"/>
                <w:color w:val="auto"/>
              </w:rPr>
              <w:t>Item 5</w:t>
            </w: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Other Information</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56</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ind w:left="20"/>
              <w:spacing w:after="0" w:line="182" w:lineRule="exact"/>
              <w:rPr>
                <w:sz w:val="20"/>
                <w:szCs w:val="20"/>
                <w:color w:val="auto"/>
              </w:rPr>
            </w:pPr>
            <w:r>
              <w:rPr>
                <w:rFonts w:ascii="Arial" w:cs="Arial" w:eastAsia="Arial" w:hAnsi="Arial"/>
                <w:sz w:val="18"/>
                <w:szCs w:val="18"/>
                <w:color w:val="auto"/>
              </w:rPr>
              <w:t>Item 6</w:t>
            </w: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Exhibits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57</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580" w:type="dxa"/>
            <w:vAlign w:val="bottom"/>
          </w:tcPr>
          <w:p>
            <w:pPr>
              <w:ind w:left="160"/>
              <w:spacing w:after="0" w:line="182" w:lineRule="exact"/>
              <w:rPr>
                <w:sz w:val="20"/>
                <w:szCs w:val="20"/>
                <w:color w:val="auto"/>
              </w:rPr>
            </w:pPr>
            <w:r>
              <w:rPr>
                <w:rFonts w:ascii="Arial" w:cs="Arial" w:eastAsia="Arial" w:hAnsi="Arial"/>
                <w:sz w:val="18"/>
                <w:szCs w:val="18"/>
                <w:color w:val="auto"/>
              </w:rPr>
              <w:t>Signatures</w:t>
            </w:r>
          </w:p>
        </w:tc>
        <w:tc>
          <w:tcPr>
            <w:tcW w:w="186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0000FF"/>
              </w:rPr>
              <w:t>59</w:t>
            </w:r>
          </w:p>
        </w:tc>
      </w:tr>
      <w:tr>
        <w:trPr>
          <w:trHeight w:val="20"/>
        </w:trPr>
        <w:tc>
          <w:tcPr>
            <w:tcW w:w="800" w:type="dxa"/>
            <w:vAlign w:val="bottom"/>
            <w:tcBorders>
              <w:bottom w:val="single" w:sz="8" w:color="BFBFBF"/>
            </w:tcBorders>
          </w:tcPr>
          <w:p>
            <w:pPr>
              <w:spacing w:after="0" w:line="20" w:lineRule="exact"/>
              <w:rPr>
                <w:sz w:val="1"/>
                <w:szCs w:val="1"/>
                <w:color w:val="auto"/>
              </w:rPr>
            </w:pPr>
          </w:p>
        </w:tc>
        <w:tc>
          <w:tcPr>
            <w:tcW w:w="8580" w:type="dxa"/>
            <w:vAlign w:val="bottom"/>
            <w:tcBorders>
              <w:bottom w:val="single" w:sz="8" w:color="BFBFBF"/>
            </w:tcBorders>
          </w:tcPr>
          <w:p>
            <w:pPr>
              <w:spacing w:after="0" w:line="20" w:lineRule="exact"/>
              <w:rPr>
                <w:sz w:val="1"/>
                <w:szCs w:val="1"/>
                <w:color w:val="auto"/>
              </w:rPr>
            </w:pPr>
          </w:p>
        </w:tc>
        <w:tc>
          <w:tcPr>
            <w:tcW w:w="164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0000FF"/>
              <w:bottom w:val="single" w:sz="8" w:color="BFBFBF"/>
            </w:tcBorders>
          </w:tcPr>
          <w:p>
            <w:pPr>
              <w:spacing w:after="0" w:line="20" w:lineRule="exact"/>
              <w:rPr>
                <w:sz w:val="1"/>
                <w:szCs w:val="1"/>
                <w:color w:val="auto"/>
              </w:rPr>
            </w:pPr>
          </w:p>
        </w:tc>
        <w:tc>
          <w:tcPr>
            <w:tcW w:w="80" w:type="dxa"/>
            <w:vAlign w:val="bottom"/>
            <w:tcBorders>
              <w:top w:val="single" w:sz="8" w:color="0000FF"/>
              <w:bottom w:val="single" w:sz="8" w:color="BFBFBF"/>
            </w:tcBorders>
          </w:tcPr>
          <w:p>
            <w:pPr>
              <w:spacing w:after="0" w:line="20" w:lineRule="exact"/>
              <w:rPr>
                <w:sz w:val="1"/>
                <w:szCs w:val="1"/>
                <w:color w:val="auto"/>
              </w:rPr>
            </w:pPr>
          </w:p>
        </w:tc>
        <w:tc>
          <w:tcPr>
            <w:tcW w:w="100" w:type="dxa"/>
            <w:vAlign w:val="bottom"/>
            <w:tcBorders>
              <w:top w:val="single" w:sz="8" w:color="0000FF"/>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r>
      <w:tr>
        <w:trPr>
          <w:trHeight w:val="1661"/>
        </w:trPr>
        <w:tc>
          <w:tcPr>
            <w:tcW w:w="80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Quarterly Report on Form 10-Q contains “forward-looking statements” within the meaning of the federal securities laws made pursuant to the safe harbor provisions of the Private Securities Litigation Reform Act of 1995 about us and our industry that involve substantial risks and uncertainties. These statements can be identified by the fact that they do not relate strictly to historical or current facts, but rather are based on current expectations, estimates, assumptions, and projections about our industry, our business, and our financial results. Forward-looking statements often include words such as “anticipates,” “estimates,” “expects,” “projects,” “forecasts,” “intends,” “plans,” “continues,” “believes,” “may,” “will,” and “goals.” Words and similar expressions that convey the prospective nature of events or outcomes generally indicate forward-looking statements. However, the absence of these words does not mean that a statement is not forward-looking.</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with any projection or forecast, forward-looking statements are inherently susceptible to uncertainty and changes in circumstances. Our actual results may vary materially from those expressed or implied in our forward-looking statements. Accordingly, undue reliance should not be placed on any forward-looking statement made by us or on our behalf.</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we believe that the forward-looking statements contained in this report are based on reasonable assumptions, you should be aware that many factors could affect our actual financial results or results of operations and could cause actual results to differ materially from those in such forward-looking statements, including, but not limited to:</w:t>
      </w:r>
    </w:p>
    <w:p>
      <w:pPr>
        <w:spacing w:after="0" w:line="63"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new technologies and introduce new products;</w:t>
      </w:r>
    </w:p>
    <w:p>
      <w:pPr>
        <w:spacing w:after="0" w:line="27" w:lineRule="exact"/>
        <w:rPr>
          <w:rFonts w:ascii="Arial" w:cs="Arial" w:eastAsia="Arial" w:hAnsi="Arial"/>
          <w:sz w:val="18"/>
          <w:szCs w:val="18"/>
          <w:color w:val="auto"/>
        </w:rPr>
      </w:pPr>
    </w:p>
    <w:p>
      <w:pPr>
        <w:ind w:left="660" w:right="20" w:hanging="328"/>
        <w:spacing w:after="0" w:line="250"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price and availability of raw materials that we use to produce our products, including the ability of suppliers to meet quality and delivery requirements and our ability to reduce the impact of such disruptions;</w:t>
      </w: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climate change and related regulations and changes in customer demand;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regulatory, foreign exchange, and other risks of international operations;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tariffs or other restrictions on foreign imports;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 in the markets in which we operate;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concentrations of our credit, counterparty, and market risk;</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or effectively integrate acquisitions;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demand for our products and services, including economic or other conditions in the commercial aerospace, business aviation, and defense and space markets, such as changed buying patterns of aftermarket parts, supplier stability, factory transitions, and global supply constraints;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spending and risks associated with our government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joint ventures and strategic co-development partnerships;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qualified personnel;</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material environmental liabilities;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potential cybersecurity attacks, data privacy breaches, and other operational disruptions;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stakeholder interest in public company performance, disclosure, and goal-setting with respect to ESG matters;</w:t>
      </w:r>
    </w:p>
    <w:p>
      <w:pPr>
        <w:spacing w:after="0" w:line="9" w:lineRule="exact"/>
        <w:rPr>
          <w:rFonts w:ascii="Arial" w:cs="Arial" w:eastAsia="Arial" w:hAnsi="Arial"/>
          <w:sz w:val="18"/>
          <w:szCs w:val="18"/>
          <w:color w:val="auto"/>
        </w:rPr>
      </w:pPr>
    </w:p>
    <w:p>
      <w:pPr>
        <w:ind w:left="660" w:hanging="328"/>
        <w:spacing w:after="0" w:line="250"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operating history as an independent, publicly traded company and limited reliability of historical combined financial information as an indicator of our future results;</w:t>
      </w:r>
    </w:p>
    <w:p>
      <w:pPr>
        <w:ind w:left="660" w:hanging="328"/>
        <w:spacing w:after="0" w:line="250"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our ability to achieve the expected benefits of the separation from Honeywell International (the “Spin-off”) within expected time frames, or at all;</w:t>
      </w:r>
    </w:p>
    <w:p>
      <w:pPr>
        <w:ind w:left="660" w:hanging="328"/>
        <w:spacing w:after="0" w:line="250"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determination by the IRS or other tax authorities that the Spin-off or certain related transactions should be treated as taxable transactions;</w:t>
      </w: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financing transactions undertaken in connection with the separation and risks associated with additional indebtedness;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incremental costs of operating on a standalone basis (including the loss of synergies), costs of restructuring transactions, and other costs incurred in connection with the separation will exceed our estimates;</w:t>
      </w: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outcomes of litigation matters and government and other proceedings; and</w:t>
      </w:r>
    </w:p>
    <w:p>
      <w:pPr>
        <w:spacing w:after="0" w:line="9" w:lineRule="exact"/>
        <w:rPr>
          <w:rFonts w:ascii="Arial" w:cs="Arial" w:eastAsia="Arial" w:hAnsi="Arial"/>
          <w:sz w:val="18"/>
          <w:szCs w:val="18"/>
          <w:color w:val="auto"/>
        </w:rPr>
      </w:pPr>
    </w:p>
    <w:p>
      <w:pPr>
        <w:ind w:left="660" w:hanging="328"/>
        <w:spacing w:after="0" w:line="266"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1E1E23"/>
        </w:rPr>
        <w:t>other economic, business, competitive, and/or regulatory factors affecting our businesses generally as set forth in our filings with the Securities and Exchange Commission, including the final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 w:name="page4"/>
    <w:bookmarkEnd w:id="3"/>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1E1E23"/>
        </w:rPr>
        <w:t>information statement (the “Information Statement”) filed as part of our Registration Statement on Form 10-12B, as amended (File No. 001-43173), a copy of which was furnished as Exhibit 99.1 to our Current Report on Form 8-K filed with the SEC on June 15, 2026</w:t>
      </w:r>
      <w:r>
        <w:rPr>
          <w:rFonts w:ascii="Arial" w:cs="Arial" w:eastAsia="Arial" w:hAnsi="Arial"/>
          <w:sz w:val="18"/>
          <w:szCs w:val="18"/>
          <w:color w:val="000000"/>
        </w:rPr>
        <w:t>.</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risks could cause actual results to differ materially from those implied by forward-looking statements in this report. Even if our results of operations, financial condition and liquidity, and the development of the industry in which we operate are consistent with the forward-looking statements contained in this report, those results or developments may not be indicative of results or developments in subsequent periods. We do not undertake to update or revise any of our forward-looking statements, which speak only as of the date they are made, except as may be required by law or regulation.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HONEYWELL AEROSPACE INC.</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Honeywell Aerospace Inc. (“Honeywell Aerospace”, “Aerospace”, “we”, “us”, or “our”) is an independent global aerospace and defense company whose critical technologies are broadly deployed on the world’s leading commercial air transport, business aviation, defense and space platforms. These integrated solutions enable safer, more efficient, and more reliable missions. With a broad portfolio spanning avionics and navigation systems, engines and power systems, and control systems for aircraft, Honeywell Aerospace combines commitment and deep engineering expertise to drive innovation and long-term value for the aerospace industry. Our comprehensive portfolio of market leading systems and technologies are organized into three reportable segments: Electronic Solutions, Engines &amp; Power Systems, and Control Systems.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SEC filings, including our Information Statement, Quarterly Reports on Form 10-Q, Current Reports on Form 8-K, and any amendments to those reports, are available free of charge on our Investor Relations website (investor.honeywellaerospace.com) immediately after they are filed with, or furnished to, the SEC. We use our Investor Relations website, together with our Newsroom website (www.honeywellaerospace.com/us/en/company/newsroom),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and webcasts.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HONEYWELL AEROSPACE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500" w:type="dxa"/>
            <w:vAlign w:val="bottom"/>
            <w:tcBorders>
              <w:bottom w:val="single" w:sz="8" w:color="FF4400"/>
            </w:tcBorders>
          </w:tcPr>
          <w:p>
            <w:pPr>
              <w:spacing w:after="0"/>
              <w:rPr>
                <w:sz w:val="17"/>
                <w:szCs w:val="17"/>
                <w:color w:val="auto"/>
              </w:rPr>
            </w:pPr>
          </w:p>
        </w:tc>
        <w:tc>
          <w:tcPr>
            <w:tcW w:w="2000" w:type="dxa"/>
            <w:vAlign w:val="bottom"/>
            <w:tcBorders>
              <w:bottom w:val="single" w:sz="8" w:color="FF4400"/>
            </w:tcBorders>
            <w:gridSpan w:val="2"/>
          </w:tcPr>
          <w:p>
            <w:pPr>
              <w:jc w:val="right"/>
              <w:ind w:right="94"/>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FF4400"/>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FF4400"/>
            </w:tcBorders>
          </w:tcPr>
          <w:p>
            <w:pPr>
              <w:spacing w:after="0"/>
              <w:rPr>
                <w:sz w:val="17"/>
                <w:szCs w:val="17"/>
                <w:color w:val="auto"/>
              </w:rPr>
            </w:pPr>
          </w:p>
        </w:tc>
        <w:tc>
          <w:tcPr>
            <w:tcW w:w="1920" w:type="dxa"/>
            <w:vAlign w:val="bottom"/>
            <w:tcBorders>
              <w:bottom w:val="single" w:sz="8" w:color="FF4400"/>
            </w:tcBorders>
            <w:gridSpan w:val="2"/>
          </w:tcPr>
          <w:p>
            <w:pPr>
              <w:jc w:val="right"/>
              <w:ind w:right="74"/>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Borders>
              <w:bottom w:val="single" w:sz="8" w:color="FF4400"/>
            </w:tcBorders>
          </w:tcPr>
          <w:p>
            <w:pPr>
              <w:spacing w:after="0"/>
              <w:rPr>
                <w:sz w:val="17"/>
                <w:szCs w:val="17"/>
                <w:color w:val="auto"/>
              </w:rPr>
            </w:pPr>
          </w:p>
        </w:tc>
      </w:tr>
      <w:tr>
        <w:trPr>
          <w:trHeight w:val="196"/>
        </w:trPr>
        <w:tc>
          <w:tcPr>
            <w:tcW w:w="4700" w:type="dxa"/>
            <w:vAlign w:val="bottom"/>
            <w:tcBorders>
              <w:bottom w:val="single" w:sz="8" w:color="FF4400"/>
            </w:tcBorders>
          </w:tcPr>
          <w:p>
            <w:pPr>
              <w:spacing w:after="0"/>
              <w:rPr>
                <w:sz w:val="17"/>
                <w:szCs w:val="17"/>
                <w:color w:val="auto"/>
              </w:rPr>
            </w:pPr>
          </w:p>
        </w:tc>
        <w:tc>
          <w:tcPr>
            <w:tcW w:w="1600" w:type="dxa"/>
            <w:vAlign w:val="bottom"/>
            <w:tcBorders>
              <w:bottom w:val="single" w:sz="8" w:color="FF4400"/>
            </w:tcBorders>
            <w:gridSpan w:val="2"/>
          </w:tcPr>
          <w:p>
            <w:pPr>
              <w:jc w:val="right"/>
              <w:ind w:right="71"/>
              <w:spacing w:after="0"/>
              <w:rPr>
                <w:sz w:val="20"/>
                <w:szCs w:val="20"/>
                <w:color w:val="auto"/>
              </w:rPr>
            </w:pPr>
            <w:r>
              <w:rPr>
                <w:rFonts w:ascii="Arial" w:cs="Arial" w:eastAsia="Arial" w:hAnsi="Arial"/>
                <w:sz w:val="14"/>
                <w:szCs w:val="14"/>
                <w:b w:val="1"/>
                <w:bCs w:val="1"/>
                <w:color w:val="auto"/>
              </w:rPr>
              <w:t>September 26, 2026</w:t>
            </w:r>
          </w:p>
        </w:tc>
        <w:tc>
          <w:tcPr>
            <w:tcW w:w="1720" w:type="dxa"/>
            <w:vAlign w:val="bottom"/>
            <w:tcBorders>
              <w:bottom w:val="single" w:sz="8" w:color="FF4400"/>
            </w:tcBorders>
            <w:gridSpan w:val="3"/>
          </w:tcPr>
          <w:p>
            <w:pPr>
              <w:ind w:left="160"/>
              <w:spacing w:after="0"/>
              <w:rPr>
                <w:sz w:val="20"/>
                <w:szCs w:val="20"/>
                <w:color w:val="auto"/>
              </w:rPr>
            </w:pPr>
            <w:r>
              <w:rPr>
                <w:rFonts w:ascii="Arial" w:cs="Arial" w:eastAsia="Arial" w:hAnsi="Arial"/>
                <w:sz w:val="14"/>
                <w:szCs w:val="14"/>
                <w:b w:val="1"/>
                <w:bCs w:val="1"/>
                <w:color w:val="auto"/>
              </w:rPr>
              <w:t>September 27, 2025</w:t>
            </w:r>
          </w:p>
        </w:tc>
        <w:tc>
          <w:tcPr>
            <w:tcW w:w="1580" w:type="dxa"/>
            <w:vAlign w:val="bottom"/>
            <w:tcBorders>
              <w:bottom w:val="single" w:sz="8" w:color="FF4400"/>
            </w:tcBorders>
            <w:gridSpan w:val="2"/>
          </w:tcPr>
          <w:p>
            <w:pPr>
              <w:jc w:val="right"/>
              <w:ind w:right="51"/>
              <w:spacing w:after="0"/>
              <w:rPr>
                <w:sz w:val="20"/>
                <w:szCs w:val="20"/>
                <w:color w:val="auto"/>
              </w:rPr>
            </w:pPr>
            <w:r>
              <w:rPr>
                <w:rFonts w:ascii="Arial" w:cs="Arial" w:eastAsia="Arial" w:hAnsi="Arial"/>
                <w:sz w:val="14"/>
                <w:szCs w:val="14"/>
                <w:b w:val="1"/>
                <w:bCs w:val="1"/>
                <w:color w:val="auto"/>
              </w:rPr>
              <w:t>September 26, 2026</w:t>
            </w:r>
          </w:p>
        </w:tc>
        <w:tc>
          <w:tcPr>
            <w:tcW w:w="1640" w:type="dxa"/>
            <w:vAlign w:val="bottom"/>
            <w:tcBorders>
              <w:bottom w:val="single" w:sz="8" w:color="FF4400"/>
            </w:tcBorders>
            <w:gridSpan w:val="2"/>
          </w:tcPr>
          <w:p>
            <w:pPr>
              <w:jc w:val="right"/>
              <w:ind w:right="30"/>
              <w:spacing w:after="0"/>
              <w:rPr>
                <w:sz w:val="20"/>
                <w:szCs w:val="20"/>
                <w:color w:val="auto"/>
              </w:rPr>
            </w:pPr>
            <w:r>
              <w:rPr>
                <w:rFonts w:ascii="Arial" w:cs="Arial" w:eastAsia="Arial" w:hAnsi="Arial"/>
                <w:sz w:val="14"/>
                <w:szCs w:val="14"/>
                <w:b w:val="1"/>
                <w:bCs w:val="1"/>
                <w:color w:val="auto"/>
              </w:rPr>
              <w:t>September 27, 2025</w:t>
            </w:r>
          </w:p>
        </w:tc>
      </w:tr>
      <w:tr>
        <w:trPr>
          <w:trHeight w:val="224"/>
        </w:trPr>
        <w:tc>
          <w:tcPr>
            <w:tcW w:w="470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Product sales</w:t>
            </w:r>
          </w:p>
        </w:tc>
        <w:tc>
          <w:tcPr>
            <w:tcW w:w="500" w:type="dxa"/>
            <w:vAlign w:val="bottom"/>
            <w:tcBorders>
              <w:bottom w:val="single" w:sz="8" w:color="BFBFBF"/>
            </w:tcBorders>
          </w:tcPr>
          <w:p>
            <w:pPr>
              <w:jc w:val="right"/>
              <w:ind w:right="29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2,690</w:t>
            </w:r>
          </w:p>
        </w:tc>
        <w:tc>
          <w:tcPr>
            <w:tcW w:w="900" w:type="dxa"/>
            <w:vAlign w:val="bottom"/>
            <w:tcBorders>
              <w:bottom w:val="single" w:sz="8" w:color="BFBFBF"/>
            </w:tcBorders>
          </w:tcPr>
          <w:p>
            <w:pPr>
              <w:jc w:val="right"/>
              <w:ind w:right="63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BFBFBF"/>
            </w:tcBorders>
          </w:tcPr>
          <w:p>
            <w:pPr>
              <w:spacing w:after="0"/>
              <w:rPr>
                <w:sz w:val="19"/>
                <w:szCs w:val="19"/>
                <w:color w:val="auto"/>
              </w:rPr>
            </w:pPr>
          </w:p>
        </w:tc>
        <w:tc>
          <w:tcPr>
            <w:tcW w:w="520" w:type="dxa"/>
            <w:vAlign w:val="bottom"/>
            <w:tcBorders>
              <w:bottom w:val="single" w:sz="8" w:color="BFBFBF"/>
            </w:tcBorders>
          </w:tcPr>
          <w:p>
            <w:pPr>
              <w:jc w:val="right"/>
              <w:ind w:right="314"/>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7,723</w:t>
            </w:r>
          </w:p>
        </w:tc>
        <w:tc>
          <w:tcPr>
            <w:tcW w:w="860" w:type="dxa"/>
            <w:vAlign w:val="bottom"/>
            <w:tcBorders>
              <w:bottom w:val="single" w:sz="8" w:color="BFBFBF"/>
            </w:tcBorders>
          </w:tcPr>
          <w:p>
            <w:pPr>
              <w:jc w:val="right"/>
              <w:ind w:right="57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7,191</w:t>
            </w:r>
          </w:p>
        </w:tc>
      </w:tr>
      <w:tr>
        <w:trPr>
          <w:trHeight w:val="223"/>
        </w:trPr>
        <w:tc>
          <w:tcPr>
            <w:tcW w:w="470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Service sales</w:t>
            </w:r>
          </w:p>
        </w:tc>
        <w:tc>
          <w:tcPr>
            <w:tcW w:w="50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1,954</w:t>
            </w:r>
          </w:p>
        </w:tc>
        <w:tc>
          <w:tcPr>
            <w:tcW w:w="90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color w:val="auto"/>
              </w:rPr>
              <w:t>5,795</w:t>
            </w:r>
          </w:p>
        </w:tc>
        <w:tc>
          <w:tcPr>
            <w:tcW w:w="860" w:type="dxa"/>
            <w:vAlign w:val="bottom"/>
            <w:tcBorders>
              <w:bottom w:val="single" w:sz="8" w:color="384348"/>
            </w:tcBorders>
          </w:tcPr>
          <w:p>
            <w:pPr>
              <w:spacing w:after="0"/>
              <w:rPr>
                <w:sz w:val="19"/>
                <w:szCs w:val="19"/>
                <w:color w:val="auto"/>
              </w:rPr>
            </w:pP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5,705</w:t>
            </w:r>
          </w:p>
        </w:tc>
      </w:tr>
      <w:tr>
        <w:trPr>
          <w:trHeight w:val="223"/>
        </w:trPr>
        <w:tc>
          <w:tcPr>
            <w:tcW w:w="47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Net sales</w:t>
            </w:r>
          </w:p>
        </w:tc>
        <w:tc>
          <w:tcPr>
            <w:tcW w:w="50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4,644</w:t>
            </w:r>
          </w:p>
        </w:tc>
        <w:tc>
          <w:tcPr>
            <w:tcW w:w="90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4,533</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b w:val="1"/>
                <w:bCs w:val="1"/>
                <w:color w:val="auto"/>
              </w:rPr>
              <w:t>13,518</w:t>
            </w:r>
          </w:p>
        </w:tc>
        <w:tc>
          <w:tcPr>
            <w:tcW w:w="860" w:type="dxa"/>
            <w:vAlign w:val="bottom"/>
            <w:tcBorders>
              <w:bottom w:val="single" w:sz="8" w:color="384348"/>
            </w:tcBorders>
          </w:tcPr>
          <w:p>
            <w:pPr>
              <w:spacing w:after="0"/>
              <w:rPr>
                <w:sz w:val="19"/>
                <w:szCs w:val="19"/>
                <w:color w:val="auto"/>
              </w:rPr>
            </w:pP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12,896</w:t>
            </w:r>
          </w:p>
        </w:tc>
      </w:tr>
      <w:tr>
        <w:trPr>
          <w:trHeight w:val="223"/>
        </w:trPr>
        <w:tc>
          <w:tcPr>
            <w:tcW w:w="47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Costs, expenses and other</w:t>
            </w:r>
          </w:p>
        </w:tc>
        <w:tc>
          <w:tcPr>
            <w:tcW w:w="50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spacing w:after="0"/>
              <w:rPr>
                <w:sz w:val="19"/>
                <w:szCs w:val="19"/>
                <w:color w:val="auto"/>
              </w:rPr>
            </w:pPr>
          </w:p>
        </w:tc>
        <w:tc>
          <w:tcPr>
            <w:tcW w:w="90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spacing w:after="0"/>
              <w:rPr>
                <w:sz w:val="19"/>
                <w:szCs w:val="19"/>
                <w:color w:val="auto"/>
              </w:rPr>
            </w:pPr>
          </w:p>
        </w:tc>
        <w:tc>
          <w:tcPr>
            <w:tcW w:w="100" w:type="dxa"/>
            <w:vAlign w:val="bottom"/>
            <w:tcBorders>
              <w:bottom w:val="single" w:sz="8" w:color="BFBFBF"/>
            </w:tcBorders>
          </w:tcPr>
          <w:p>
            <w:pPr>
              <w:spacing w:after="0"/>
              <w:rPr>
                <w:sz w:val="19"/>
                <w:szCs w:val="19"/>
                <w:color w:val="auto"/>
              </w:rPr>
            </w:pPr>
          </w:p>
        </w:tc>
        <w:tc>
          <w:tcPr>
            <w:tcW w:w="52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spacing w:after="0"/>
              <w:rPr>
                <w:sz w:val="19"/>
                <w:szCs w:val="19"/>
                <w:color w:val="auto"/>
              </w:rPr>
            </w:pPr>
          </w:p>
        </w:tc>
      </w:tr>
      <w:tr>
        <w:trPr>
          <w:trHeight w:val="223"/>
        </w:trPr>
        <w:tc>
          <w:tcPr>
            <w:tcW w:w="4700" w:type="dxa"/>
            <w:vAlign w:val="bottom"/>
            <w:tcBorders>
              <w:bottom w:val="single" w:sz="8" w:color="BFBFBF"/>
            </w:tcBorders>
          </w:tcPr>
          <w:p>
            <w:pPr>
              <w:ind w:left="360"/>
              <w:spacing w:after="0"/>
              <w:rPr>
                <w:sz w:val="20"/>
                <w:szCs w:val="20"/>
                <w:color w:val="auto"/>
              </w:rPr>
            </w:pPr>
            <w:r>
              <w:rPr>
                <w:rFonts w:ascii="Arial" w:cs="Arial" w:eastAsia="Arial" w:hAnsi="Arial"/>
                <w:sz w:val="18"/>
                <w:szCs w:val="18"/>
                <w:color w:val="auto"/>
              </w:rPr>
              <w:t>Cost of products sold</w:t>
            </w:r>
          </w:p>
        </w:tc>
        <w:tc>
          <w:tcPr>
            <w:tcW w:w="50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1,985</w:t>
            </w:r>
          </w:p>
        </w:tc>
        <w:tc>
          <w:tcPr>
            <w:tcW w:w="90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BFBFBF"/>
            </w:tcBorders>
          </w:tcPr>
          <w:p>
            <w:pPr>
              <w:spacing w:after="0"/>
              <w:rPr>
                <w:sz w:val="19"/>
                <w:szCs w:val="19"/>
                <w:color w:val="auto"/>
              </w:rPr>
            </w:pPr>
          </w:p>
        </w:tc>
        <w:tc>
          <w:tcPr>
            <w:tcW w:w="52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5,805</w:t>
            </w:r>
          </w:p>
        </w:tc>
        <w:tc>
          <w:tcPr>
            <w:tcW w:w="86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5,422</w:t>
            </w:r>
          </w:p>
        </w:tc>
      </w:tr>
      <w:tr>
        <w:trPr>
          <w:trHeight w:val="223"/>
        </w:trPr>
        <w:tc>
          <w:tcPr>
            <w:tcW w:w="4700" w:type="dxa"/>
            <w:vAlign w:val="bottom"/>
            <w:tcBorders>
              <w:bottom w:val="single" w:sz="8" w:color="384348"/>
            </w:tcBorders>
          </w:tcPr>
          <w:p>
            <w:pPr>
              <w:ind w:left="360"/>
              <w:spacing w:after="0"/>
              <w:rPr>
                <w:sz w:val="20"/>
                <w:szCs w:val="20"/>
                <w:color w:val="auto"/>
              </w:rPr>
            </w:pPr>
            <w:r>
              <w:rPr>
                <w:rFonts w:ascii="Arial" w:cs="Arial" w:eastAsia="Arial" w:hAnsi="Arial"/>
                <w:sz w:val="18"/>
                <w:szCs w:val="18"/>
                <w:color w:val="auto"/>
              </w:rPr>
              <w:t>Cost of services sold</w:t>
            </w:r>
          </w:p>
        </w:tc>
        <w:tc>
          <w:tcPr>
            <w:tcW w:w="50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944</w:t>
            </w:r>
          </w:p>
        </w:tc>
        <w:tc>
          <w:tcPr>
            <w:tcW w:w="90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color w:val="auto"/>
              </w:rPr>
              <w:t>2,787</w:t>
            </w:r>
          </w:p>
        </w:tc>
        <w:tc>
          <w:tcPr>
            <w:tcW w:w="860" w:type="dxa"/>
            <w:vAlign w:val="bottom"/>
            <w:tcBorders>
              <w:bottom w:val="single" w:sz="8" w:color="384348"/>
            </w:tcBorders>
          </w:tcPr>
          <w:p>
            <w:pPr>
              <w:spacing w:after="0"/>
              <w:rPr>
                <w:sz w:val="19"/>
                <w:szCs w:val="19"/>
                <w:color w:val="auto"/>
              </w:rPr>
            </w:pP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2,730</w:t>
            </w:r>
          </w:p>
        </w:tc>
      </w:tr>
      <w:tr>
        <w:trPr>
          <w:trHeight w:val="223"/>
        </w:trPr>
        <w:tc>
          <w:tcPr>
            <w:tcW w:w="470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Total cost of products and services sold</w:t>
            </w:r>
          </w:p>
        </w:tc>
        <w:tc>
          <w:tcPr>
            <w:tcW w:w="50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2,929</w:t>
            </w:r>
          </w:p>
        </w:tc>
        <w:tc>
          <w:tcPr>
            <w:tcW w:w="90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2,876</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b w:val="1"/>
                <w:bCs w:val="1"/>
                <w:color w:val="auto"/>
              </w:rPr>
              <w:t>8,592</w:t>
            </w:r>
          </w:p>
        </w:tc>
        <w:tc>
          <w:tcPr>
            <w:tcW w:w="860" w:type="dxa"/>
            <w:vAlign w:val="bottom"/>
            <w:tcBorders>
              <w:bottom w:val="single" w:sz="8" w:color="384348"/>
            </w:tcBorders>
          </w:tcPr>
          <w:p>
            <w:pPr>
              <w:spacing w:after="0"/>
              <w:rPr>
                <w:sz w:val="19"/>
                <w:szCs w:val="19"/>
                <w:color w:val="auto"/>
              </w:rPr>
            </w:pP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8,152</w:t>
            </w:r>
          </w:p>
        </w:tc>
      </w:tr>
      <w:tr>
        <w:trPr>
          <w:trHeight w:val="223"/>
        </w:trPr>
        <w:tc>
          <w:tcPr>
            <w:tcW w:w="470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Research and development expenses</w:t>
            </w:r>
          </w:p>
        </w:tc>
        <w:tc>
          <w:tcPr>
            <w:tcW w:w="50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216</w:t>
            </w:r>
          </w:p>
        </w:tc>
        <w:tc>
          <w:tcPr>
            <w:tcW w:w="90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BFBFBF"/>
            </w:tcBorders>
          </w:tcPr>
          <w:p>
            <w:pPr>
              <w:spacing w:after="0"/>
              <w:rPr>
                <w:sz w:val="19"/>
                <w:szCs w:val="19"/>
                <w:color w:val="auto"/>
              </w:rPr>
            </w:pPr>
          </w:p>
        </w:tc>
        <w:tc>
          <w:tcPr>
            <w:tcW w:w="52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586</w:t>
            </w:r>
          </w:p>
        </w:tc>
        <w:tc>
          <w:tcPr>
            <w:tcW w:w="86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520</w:t>
            </w:r>
          </w:p>
        </w:tc>
      </w:tr>
      <w:tr>
        <w:trPr>
          <w:trHeight w:val="223"/>
        </w:trPr>
        <w:tc>
          <w:tcPr>
            <w:tcW w:w="470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471</w:t>
            </w:r>
          </w:p>
        </w:tc>
        <w:tc>
          <w:tcPr>
            <w:tcW w:w="90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BFBFBF"/>
            </w:tcBorders>
          </w:tcPr>
          <w:p>
            <w:pPr>
              <w:spacing w:after="0"/>
              <w:rPr>
                <w:sz w:val="19"/>
                <w:szCs w:val="19"/>
                <w:color w:val="auto"/>
              </w:rPr>
            </w:pPr>
          </w:p>
        </w:tc>
        <w:tc>
          <w:tcPr>
            <w:tcW w:w="52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1,757</w:t>
            </w:r>
          </w:p>
        </w:tc>
        <w:tc>
          <w:tcPr>
            <w:tcW w:w="86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1,189</w:t>
            </w:r>
          </w:p>
        </w:tc>
      </w:tr>
      <w:tr>
        <w:trPr>
          <w:trHeight w:val="223"/>
        </w:trPr>
        <w:tc>
          <w:tcPr>
            <w:tcW w:w="470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Interest expense (income), net</w:t>
            </w:r>
          </w:p>
        </w:tc>
        <w:tc>
          <w:tcPr>
            <w:tcW w:w="50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187</w:t>
            </w:r>
          </w:p>
        </w:tc>
        <w:tc>
          <w:tcPr>
            <w:tcW w:w="90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BFBFBF"/>
            </w:tcBorders>
          </w:tcPr>
          <w:p>
            <w:pPr>
              <w:spacing w:after="0"/>
              <w:rPr>
                <w:sz w:val="19"/>
                <w:szCs w:val="19"/>
                <w:color w:val="auto"/>
              </w:rPr>
            </w:pPr>
          </w:p>
        </w:tc>
        <w:tc>
          <w:tcPr>
            <w:tcW w:w="52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404</w:t>
            </w:r>
          </w:p>
        </w:tc>
        <w:tc>
          <w:tcPr>
            <w:tcW w:w="86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470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(60)</w:t>
            </w:r>
          </w:p>
        </w:tc>
        <w:tc>
          <w:tcPr>
            <w:tcW w:w="90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color w:val="auto"/>
              </w:rPr>
              <w:t>100</w:t>
            </w:r>
          </w:p>
        </w:tc>
        <w:tc>
          <w:tcPr>
            <w:tcW w:w="860" w:type="dxa"/>
            <w:vAlign w:val="bottom"/>
            <w:tcBorders>
              <w:bottom w:val="single" w:sz="8" w:color="384348"/>
            </w:tcBorders>
          </w:tcPr>
          <w:p>
            <w:pPr>
              <w:spacing w:after="0"/>
              <w:rPr>
                <w:sz w:val="19"/>
                <w:szCs w:val="19"/>
                <w:color w:val="auto"/>
              </w:rPr>
            </w:pP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375</w:t>
            </w:r>
          </w:p>
        </w:tc>
      </w:tr>
      <w:tr>
        <w:trPr>
          <w:trHeight w:val="223"/>
        </w:trPr>
        <w:tc>
          <w:tcPr>
            <w:tcW w:w="47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Total costs, expenses and other</w:t>
            </w:r>
          </w:p>
        </w:tc>
        <w:tc>
          <w:tcPr>
            <w:tcW w:w="50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3,743</w:t>
            </w:r>
          </w:p>
        </w:tc>
        <w:tc>
          <w:tcPr>
            <w:tcW w:w="90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3,792</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b w:val="1"/>
                <w:bCs w:val="1"/>
                <w:color w:val="auto"/>
              </w:rPr>
              <w:t>11,439</w:t>
            </w:r>
          </w:p>
        </w:tc>
        <w:tc>
          <w:tcPr>
            <w:tcW w:w="860" w:type="dxa"/>
            <w:vAlign w:val="bottom"/>
            <w:tcBorders>
              <w:bottom w:val="single" w:sz="8" w:color="384348"/>
            </w:tcBorders>
          </w:tcPr>
          <w:p>
            <w:pPr>
              <w:spacing w:after="0"/>
              <w:rPr>
                <w:sz w:val="19"/>
                <w:szCs w:val="19"/>
                <w:color w:val="auto"/>
              </w:rPr>
            </w:pP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10,222</w:t>
            </w:r>
          </w:p>
        </w:tc>
      </w:tr>
      <w:tr>
        <w:trPr>
          <w:trHeight w:val="223"/>
        </w:trPr>
        <w:tc>
          <w:tcPr>
            <w:tcW w:w="47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Income before taxes</w:t>
            </w:r>
          </w:p>
        </w:tc>
        <w:tc>
          <w:tcPr>
            <w:tcW w:w="50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901</w:t>
            </w:r>
          </w:p>
        </w:tc>
        <w:tc>
          <w:tcPr>
            <w:tcW w:w="90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741</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b w:val="1"/>
                <w:bCs w:val="1"/>
                <w:color w:val="auto"/>
              </w:rPr>
              <w:t>2,079</w:t>
            </w:r>
          </w:p>
        </w:tc>
        <w:tc>
          <w:tcPr>
            <w:tcW w:w="860" w:type="dxa"/>
            <w:vAlign w:val="bottom"/>
            <w:tcBorders>
              <w:bottom w:val="single" w:sz="8" w:color="384348"/>
            </w:tcBorders>
          </w:tcPr>
          <w:p>
            <w:pPr>
              <w:spacing w:after="0"/>
              <w:rPr>
                <w:sz w:val="19"/>
                <w:szCs w:val="19"/>
                <w:color w:val="auto"/>
              </w:rPr>
            </w:pP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2,674</w:t>
            </w:r>
          </w:p>
        </w:tc>
      </w:tr>
      <w:tr>
        <w:trPr>
          <w:trHeight w:val="223"/>
        </w:trPr>
        <w:tc>
          <w:tcPr>
            <w:tcW w:w="470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164</w:t>
            </w:r>
          </w:p>
        </w:tc>
        <w:tc>
          <w:tcPr>
            <w:tcW w:w="90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color w:val="auto"/>
              </w:rPr>
              <w:t>444</w:t>
            </w:r>
          </w:p>
        </w:tc>
        <w:tc>
          <w:tcPr>
            <w:tcW w:w="860" w:type="dxa"/>
            <w:vAlign w:val="bottom"/>
            <w:tcBorders>
              <w:bottom w:val="single" w:sz="8" w:color="384348"/>
            </w:tcBorders>
          </w:tcPr>
          <w:p>
            <w:pPr>
              <w:spacing w:after="0"/>
              <w:rPr>
                <w:sz w:val="19"/>
                <w:szCs w:val="19"/>
                <w:color w:val="auto"/>
              </w:rPr>
            </w:pP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382</w:t>
            </w:r>
          </w:p>
        </w:tc>
      </w:tr>
      <w:tr>
        <w:trPr>
          <w:trHeight w:val="223"/>
        </w:trPr>
        <w:tc>
          <w:tcPr>
            <w:tcW w:w="47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50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737</w:t>
            </w:r>
          </w:p>
        </w:tc>
        <w:tc>
          <w:tcPr>
            <w:tcW w:w="90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654</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b w:val="1"/>
                <w:bCs w:val="1"/>
                <w:color w:val="auto"/>
              </w:rPr>
              <w:t>1,635</w:t>
            </w:r>
          </w:p>
        </w:tc>
        <w:tc>
          <w:tcPr>
            <w:tcW w:w="860" w:type="dxa"/>
            <w:vAlign w:val="bottom"/>
            <w:tcBorders>
              <w:bottom w:val="single" w:sz="8" w:color="384348"/>
            </w:tcBorders>
          </w:tcPr>
          <w:p>
            <w:pPr>
              <w:spacing w:after="0"/>
              <w:rPr>
                <w:sz w:val="19"/>
                <w:szCs w:val="19"/>
                <w:color w:val="auto"/>
              </w:rPr>
            </w:pP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2,292</w:t>
            </w:r>
          </w:p>
        </w:tc>
      </w:tr>
      <w:tr>
        <w:trPr>
          <w:trHeight w:val="223"/>
        </w:trPr>
        <w:tc>
          <w:tcPr>
            <w:tcW w:w="470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50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11</w:t>
            </w:r>
          </w:p>
        </w:tc>
        <w:tc>
          <w:tcPr>
            <w:tcW w:w="90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color w:val="auto"/>
              </w:rPr>
              <w:t>29</w:t>
            </w:r>
          </w:p>
        </w:tc>
        <w:tc>
          <w:tcPr>
            <w:tcW w:w="860" w:type="dxa"/>
            <w:vAlign w:val="bottom"/>
            <w:tcBorders>
              <w:bottom w:val="single" w:sz="8" w:color="384348"/>
            </w:tcBorders>
          </w:tcPr>
          <w:p>
            <w:pPr>
              <w:spacing w:after="0"/>
              <w:rPr>
                <w:sz w:val="19"/>
                <w:szCs w:val="19"/>
                <w:color w:val="auto"/>
              </w:rPr>
            </w:pP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47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Net income attributable to Aerospace</w:t>
            </w:r>
          </w:p>
        </w:tc>
        <w:tc>
          <w:tcPr>
            <w:tcW w:w="500" w:type="dxa"/>
            <w:vAlign w:val="bottom"/>
            <w:tcBorders>
              <w:bottom w:val="single" w:sz="8" w:color="384348"/>
            </w:tcBorders>
          </w:tcPr>
          <w:p>
            <w:pPr>
              <w:jc w:val="right"/>
              <w:ind w:right="294"/>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726</w:t>
            </w:r>
          </w:p>
        </w:tc>
        <w:tc>
          <w:tcPr>
            <w:tcW w:w="900" w:type="dxa"/>
            <w:vAlign w:val="bottom"/>
            <w:tcBorders>
              <w:bottom w:val="single" w:sz="8" w:color="384348"/>
            </w:tcBorders>
          </w:tcPr>
          <w:p>
            <w:pPr>
              <w:jc w:val="right"/>
              <w:ind w:right="634"/>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644</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b w:val="1"/>
                <w:bCs w:val="1"/>
                <w:color w:val="auto"/>
              </w:rPr>
              <w:t>1,606</w:t>
            </w:r>
          </w:p>
        </w:tc>
        <w:tc>
          <w:tcPr>
            <w:tcW w:w="860" w:type="dxa"/>
            <w:vAlign w:val="bottom"/>
            <w:tcBorders>
              <w:bottom w:val="single" w:sz="8" w:color="384348"/>
            </w:tcBorders>
          </w:tcPr>
          <w:p>
            <w:pPr>
              <w:jc w:val="right"/>
              <w:ind w:right="57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2,265</w:t>
            </w:r>
          </w:p>
        </w:tc>
      </w:tr>
      <w:tr>
        <w:trPr>
          <w:trHeight w:val="223"/>
        </w:trPr>
        <w:tc>
          <w:tcPr>
            <w:tcW w:w="47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Earnings per share of common stock—basic</w:t>
            </w:r>
          </w:p>
        </w:tc>
        <w:tc>
          <w:tcPr>
            <w:tcW w:w="500" w:type="dxa"/>
            <w:vAlign w:val="bottom"/>
            <w:tcBorders>
              <w:bottom w:val="single" w:sz="8" w:color="384348"/>
            </w:tcBorders>
          </w:tcPr>
          <w:p>
            <w:pPr>
              <w:jc w:val="right"/>
              <w:ind w:right="294"/>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2.29</w:t>
            </w:r>
          </w:p>
        </w:tc>
        <w:tc>
          <w:tcPr>
            <w:tcW w:w="900" w:type="dxa"/>
            <w:vAlign w:val="bottom"/>
            <w:tcBorders>
              <w:bottom w:val="single" w:sz="8" w:color="384348"/>
            </w:tcBorders>
          </w:tcPr>
          <w:p>
            <w:pPr>
              <w:jc w:val="right"/>
              <w:ind w:right="634"/>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b w:val="1"/>
                <w:bCs w:val="1"/>
                <w:color w:val="auto"/>
              </w:rPr>
              <w:t>5.07</w:t>
            </w:r>
          </w:p>
        </w:tc>
        <w:tc>
          <w:tcPr>
            <w:tcW w:w="860" w:type="dxa"/>
            <w:vAlign w:val="bottom"/>
            <w:tcBorders>
              <w:bottom w:val="single" w:sz="8" w:color="384348"/>
            </w:tcBorders>
          </w:tcPr>
          <w:p>
            <w:pPr>
              <w:jc w:val="right"/>
              <w:ind w:right="57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7.15</w:t>
            </w:r>
          </w:p>
        </w:tc>
      </w:tr>
      <w:tr>
        <w:trPr>
          <w:trHeight w:val="223"/>
        </w:trPr>
        <w:tc>
          <w:tcPr>
            <w:tcW w:w="47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Earnings per share of common stock—diluted</w:t>
            </w:r>
          </w:p>
        </w:tc>
        <w:tc>
          <w:tcPr>
            <w:tcW w:w="500" w:type="dxa"/>
            <w:vAlign w:val="bottom"/>
            <w:tcBorders>
              <w:bottom w:val="single" w:sz="8" w:color="384348"/>
            </w:tcBorders>
          </w:tcPr>
          <w:p>
            <w:pPr>
              <w:jc w:val="right"/>
              <w:ind w:right="294"/>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2.29</w:t>
            </w:r>
          </w:p>
        </w:tc>
        <w:tc>
          <w:tcPr>
            <w:tcW w:w="900" w:type="dxa"/>
            <w:vAlign w:val="bottom"/>
            <w:tcBorders>
              <w:bottom w:val="single" w:sz="8" w:color="384348"/>
            </w:tcBorders>
          </w:tcPr>
          <w:p>
            <w:pPr>
              <w:jc w:val="right"/>
              <w:ind w:right="634"/>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b w:val="1"/>
                <w:bCs w:val="1"/>
                <w:color w:val="auto"/>
              </w:rPr>
              <w:t>5.06</w:t>
            </w:r>
          </w:p>
        </w:tc>
        <w:tc>
          <w:tcPr>
            <w:tcW w:w="860" w:type="dxa"/>
            <w:vAlign w:val="bottom"/>
            <w:tcBorders>
              <w:bottom w:val="single" w:sz="8" w:color="384348"/>
            </w:tcBorders>
          </w:tcPr>
          <w:p>
            <w:pPr>
              <w:jc w:val="right"/>
              <w:ind w:right="57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7.15</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HONEYWELL AEROSPACE INC.</w:t>
      </w:r>
    </w:p>
    <w:p>
      <w:pPr>
        <w:spacing w:after="0" w:line="2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Pr>
          <w:p>
            <w:pPr>
              <w:spacing w:after="0"/>
              <w:rPr>
                <w:sz w:val="17"/>
                <w:szCs w:val="17"/>
                <w:color w:val="auto"/>
              </w:rPr>
            </w:pPr>
          </w:p>
        </w:tc>
        <w:tc>
          <w:tcPr>
            <w:tcW w:w="440" w:type="dxa"/>
            <w:vAlign w:val="bottom"/>
            <w:tcBorders>
              <w:bottom w:val="single" w:sz="8" w:color="FF4400"/>
            </w:tcBorders>
          </w:tcPr>
          <w:p>
            <w:pPr>
              <w:spacing w:after="0"/>
              <w:rPr>
                <w:sz w:val="17"/>
                <w:szCs w:val="17"/>
                <w:color w:val="auto"/>
              </w:rPr>
            </w:pPr>
          </w:p>
        </w:tc>
        <w:tc>
          <w:tcPr>
            <w:tcW w:w="1960" w:type="dxa"/>
            <w:vAlign w:val="bottom"/>
            <w:tcBorders>
              <w:bottom w:val="single" w:sz="8" w:color="FF4400"/>
            </w:tcBorders>
            <w:gridSpan w:val="2"/>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FF4400"/>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FF4400"/>
            </w:tcBorders>
          </w:tcPr>
          <w:p>
            <w:pPr>
              <w:spacing w:after="0"/>
              <w:rPr>
                <w:sz w:val="17"/>
                <w:szCs w:val="17"/>
                <w:color w:val="auto"/>
              </w:rPr>
            </w:pPr>
          </w:p>
        </w:tc>
        <w:tc>
          <w:tcPr>
            <w:tcW w:w="1840" w:type="dxa"/>
            <w:vAlign w:val="bottom"/>
            <w:tcBorders>
              <w:bottom w:val="single" w:sz="8" w:color="FF4400"/>
            </w:tcBorders>
            <w:gridSpan w:val="2"/>
          </w:tcPr>
          <w:p>
            <w:pPr>
              <w:jc w:val="right"/>
              <w:ind w:right="56"/>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Borders>
              <w:bottom w:val="single" w:sz="8" w:color="FF440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80" w:type="dxa"/>
            <w:vAlign w:val="bottom"/>
            <w:tcBorders>
              <w:bottom w:val="single" w:sz="8" w:color="FF4400"/>
            </w:tcBorders>
          </w:tcPr>
          <w:p>
            <w:pPr>
              <w:spacing w:after="0"/>
              <w:rPr>
                <w:sz w:val="17"/>
                <w:szCs w:val="17"/>
                <w:color w:val="auto"/>
              </w:rPr>
            </w:pPr>
          </w:p>
        </w:tc>
        <w:tc>
          <w:tcPr>
            <w:tcW w:w="1480" w:type="dxa"/>
            <w:vAlign w:val="bottom"/>
            <w:tcBorders>
              <w:bottom w:val="single" w:sz="8" w:color="FF4400"/>
            </w:tcBorders>
            <w:gridSpan w:val="2"/>
          </w:tcPr>
          <w:p>
            <w:pPr>
              <w:jc w:val="right"/>
              <w:spacing w:after="0"/>
              <w:rPr>
                <w:sz w:val="20"/>
                <w:szCs w:val="20"/>
                <w:color w:val="auto"/>
              </w:rPr>
            </w:pPr>
            <w:r>
              <w:rPr>
                <w:rFonts w:ascii="Arial" w:cs="Arial" w:eastAsia="Arial" w:hAnsi="Arial"/>
                <w:sz w:val="14"/>
                <w:szCs w:val="14"/>
                <w:b w:val="1"/>
                <w:bCs w:val="1"/>
                <w:color w:val="auto"/>
              </w:rPr>
              <w:t>September 26, 2026</w:t>
            </w:r>
          </w:p>
        </w:tc>
        <w:tc>
          <w:tcPr>
            <w:tcW w:w="1600" w:type="dxa"/>
            <w:vAlign w:val="bottom"/>
            <w:tcBorders>
              <w:bottom w:val="single" w:sz="8" w:color="FF4400"/>
            </w:tcBorders>
            <w:gridSpan w:val="3"/>
          </w:tcPr>
          <w:p>
            <w:pPr>
              <w:ind w:left="100"/>
              <w:spacing w:after="0"/>
              <w:rPr>
                <w:sz w:val="20"/>
                <w:szCs w:val="20"/>
                <w:color w:val="auto"/>
              </w:rPr>
            </w:pPr>
            <w:r>
              <w:rPr>
                <w:rFonts w:ascii="Arial" w:cs="Arial" w:eastAsia="Arial" w:hAnsi="Arial"/>
                <w:sz w:val="14"/>
                <w:szCs w:val="14"/>
                <w:b w:val="1"/>
                <w:bCs w:val="1"/>
                <w:color w:val="auto"/>
              </w:rPr>
              <w:t>September 27, 2025</w:t>
            </w:r>
          </w:p>
        </w:tc>
        <w:tc>
          <w:tcPr>
            <w:tcW w:w="1480" w:type="dxa"/>
            <w:vAlign w:val="bottom"/>
            <w:tcBorders>
              <w:bottom w:val="single" w:sz="8" w:color="FF4400"/>
            </w:tcBorders>
            <w:gridSpan w:val="2"/>
          </w:tcPr>
          <w:p>
            <w:pPr>
              <w:jc w:val="right"/>
              <w:spacing w:after="0"/>
              <w:rPr>
                <w:sz w:val="20"/>
                <w:szCs w:val="20"/>
                <w:color w:val="auto"/>
              </w:rPr>
            </w:pPr>
            <w:r>
              <w:rPr>
                <w:rFonts w:ascii="Arial" w:cs="Arial" w:eastAsia="Arial" w:hAnsi="Arial"/>
                <w:sz w:val="14"/>
                <w:szCs w:val="14"/>
                <w:b w:val="1"/>
                <w:bCs w:val="1"/>
                <w:color w:val="auto"/>
              </w:rPr>
              <w:t>September 26, 2026</w:t>
            </w:r>
          </w:p>
        </w:tc>
        <w:tc>
          <w:tcPr>
            <w:tcW w:w="1500" w:type="dxa"/>
            <w:vAlign w:val="bottom"/>
            <w:tcBorders>
              <w:bottom w:val="single" w:sz="8" w:color="FF4400"/>
            </w:tcBorders>
            <w:gridSpan w:val="2"/>
          </w:tcPr>
          <w:p>
            <w:pPr>
              <w:jc w:val="right"/>
              <w:spacing w:after="0"/>
              <w:rPr>
                <w:sz w:val="20"/>
                <w:szCs w:val="20"/>
                <w:color w:val="auto"/>
              </w:rPr>
            </w:pPr>
            <w:r>
              <w:rPr>
                <w:rFonts w:ascii="Arial" w:cs="Arial" w:eastAsia="Arial" w:hAnsi="Arial"/>
                <w:sz w:val="14"/>
                <w:szCs w:val="14"/>
                <w:b w:val="1"/>
                <w:bCs w:val="1"/>
                <w:color w:val="auto"/>
              </w:rPr>
              <w:t>September 27, 2025</w:t>
            </w:r>
          </w:p>
        </w:tc>
        <w:tc>
          <w:tcPr>
            <w:tcW w:w="0" w:type="dxa"/>
            <w:vAlign w:val="bottom"/>
          </w:tcPr>
          <w:p>
            <w:pPr>
              <w:spacing w:after="0"/>
              <w:rPr>
                <w:sz w:val="1"/>
                <w:szCs w:val="1"/>
                <w:color w:val="auto"/>
              </w:rPr>
            </w:pPr>
          </w:p>
        </w:tc>
      </w:tr>
      <w:tr>
        <w:trPr>
          <w:trHeight w:val="224"/>
        </w:trPr>
        <w:tc>
          <w:tcPr>
            <w:tcW w:w="51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BFBFBF"/>
            </w:tcBorders>
          </w:tcPr>
          <w:p>
            <w:pPr>
              <w:jc w:val="right"/>
              <w:ind w:right="23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737</w:t>
            </w:r>
          </w:p>
        </w:tc>
        <w:tc>
          <w:tcPr>
            <w:tcW w:w="920" w:type="dxa"/>
            <w:vAlign w:val="bottom"/>
            <w:tcBorders>
              <w:bottom w:val="single" w:sz="8" w:color="BFBFBF"/>
            </w:tcBorders>
          </w:tcPr>
          <w:p>
            <w:pPr>
              <w:jc w:val="right"/>
              <w:ind w:right="65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BFBFBF"/>
            </w:tcBorders>
          </w:tcPr>
          <w:p>
            <w:pPr>
              <w:spacing w:after="0"/>
              <w:rPr>
                <w:sz w:val="19"/>
                <w:szCs w:val="19"/>
                <w:color w:val="auto"/>
              </w:rPr>
            </w:pPr>
          </w:p>
        </w:tc>
        <w:tc>
          <w:tcPr>
            <w:tcW w:w="460" w:type="dxa"/>
            <w:vAlign w:val="bottom"/>
            <w:tcBorders>
              <w:bottom w:val="single" w:sz="8" w:color="BFBFBF"/>
            </w:tcBorders>
          </w:tcPr>
          <w:p>
            <w:pPr>
              <w:jc w:val="right"/>
              <w:ind w:right="2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1,635</w:t>
            </w:r>
          </w:p>
        </w:tc>
        <w:tc>
          <w:tcPr>
            <w:tcW w:w="820" w:type="dxa"/>
            <w:vAlign w:val="bottom"/>
            <w:tcBorders>
              <w:bottom w:val="single" w:sz="8" w:color="BFBFBF"/>
            </w:tcBorders>
          </w:tcPr>
          <w:p>
            <w:pPr>
              <w:jc w:val="right"/>
              <w:ind w:right="55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Other comprehensive (loss) income, net of tax</w:t>
            </w:r>
          </w:p>
        </w:tc>
        <w:tc>
          <w:tcPr>
            <w:tcW w:w="44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spacing w:after="0"/>
              <w:rPr>
                <w:sz w:val="19"/>
                <w:szCs w:val="19"/>
                <w:color w:val="auto"/>
              </w:rPr>
            </w:pPr>
          </w:p>
        </w:tc>
        <w:tc>
          <w:tcPr>
            <w:tcW w:w="580" w:type="dxa"/>
            <w:vAlign w:val="bottom"/>
            <w:tcBorders>
              <w:bottom w:val="single" w:sz="8" w:color="BFBFBF"/>
            </w:tcBorders>
          </w:tcPr>
          <w:p>
            <w:pPr>
              <w:spacing w:after="0"/>
              <w:rPr>
                <w:sz w:val="19"/>
                <w:szCs w:val="19"/>
                <w:color w:val="auto"/>
              </w:rPr>
            </w:pPr>
          </w:p>
        </w:tc>
        <w:tc>
          <w:tcPr>
            <w:tcW w:w="100" w:type="dxa"/>
            <w:vAlign w:val="bottom"/>
            <w:tcBorders>
              <w:bottom w:val="single" w:sz="8" w:color="BFBFBF"/>
            </w:tcBorders>
          </w:tcPr>
          <w:p>
            <w:pPr>
              <w:spacing w:after="0"/>
              <w:rPr>
                <w:sz w:val="19"/>
                <w:szCs w:val="19"/>
                <w:color w:val="auto"/>
              </w:rPr>
            </w:pPr>
          </w:p>
        </w:tc>
        <w:tc>
          <w:tcPr>
            <w:tcW w:w="460" w:type="dxa"/>
            <w:vAlign w:val="bottom"/>
            <w:tcBorders>
              <w:bottom w:val="single" w:sz="8" w:color="BFBFBF"/>
            </w:tcBorders>
          </w:tcPr>
          <w:p>
            <w:pPr>
              <w:spacing w:after="0"/>
              <w:rPr>
                <w:sz w:val="19"/>
                <w:szCs w:val="19"/>
                <w:color w:val="auto"/>
              </w:rPr>
            </w:pPr>
          </w:p>
        </w:tc>
        <w:tc>
          <w:tcPr>
            <w:tcW w:w="1020" w:type="dxa"/>
            <w:vAlign w:val="bottom"/>
            <w:tcBorders>
              <w:bottom w:val="single" w:sz="8" w:color="BFBFBF"/>
            </w:tcBorders>
          </w:tcPr>
          <w:p>
            <w:pPr>
              <w:spacing w:after="0"/>
              <w:rPr>
                <w:sz w:val="19"/>
                <w:szCs w:val="19"/>
                <w:color w:val="auto"/>
              </w:rPr>
            </w:pPr>
          </w:p>
        </w:tc>
        <w:tc>
          <w:tcPr>
            <w:tcW w:w="820" w:type="dxa"/>
            <w:vAlign w:val="bottom"/>
            <w:tcBorders>
              <w:bottom w:val="single" w:sz="8" w:color="BFBFBF"/>
            </w:tcBorders>
          </w:tcPr>
          <w:p>
            <w:pPr>
              <w:spacing w:after="0"/>
              <w:rPr>
                <w:sz w:val="19"/>
                <w:szCs w:val="19"/>
                <w:color w:val="auto"/>
              </w:rPr>
            </w:pPr>
          </w:p>
        </w:tc>
        <w:tc>
          <w:tcPr>
            <w:tcW w:w="68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BFBFBF"/>
            </w:tcBorders>
          </w:tcPr>
          <w:p>
            <w:pPr>
              <w:ind w:left="460"/>
              <w:spacing w:after="0"/>
              <w:rPr>
                <w:sz w:val="20"/>
                <w:szCs w:val="20"/>
                <w:color w:val="auto"/>
              </w:rPr>
            </w:pPr>
            <w:r>
              <w:rPr>
                <w:rFonts w:ascii="Arial" w:cs="Arial" w:eastAsia="Arial" w:hAnsi="Arial"/>
                <w:sz w:val="18"/>
                <w:szCs w:val="18"/>
                <w:color w:val="auto"/>
              </w:rPr>
              <w:t>Foreign exchange translation adjustment</w:t>
            </w:r>
          </w:p>
        </w:tc>
        <w:tc>
          <w:tcPr>
            <w:tcW w:w="44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(15)</w:t>
            </w:r>
          </w:p>
        </w:tc>
        <w:tc>
          <w:tcPr>
            <w:tcW w:w="920" w:type="dxa"/>
            <w:vAlign w:val="bottom"/>
            <w:tcBorders>
              <w:bottom w:val="single" w:sz="8" w:color="BFBFBF"/>
            </w:tcBorders>
          </w:tcPr>
          <w:p>
            <w:pPr>
              <w:spacing w:after="0"/>
              <w:rPr>
                <w:sz w:val="19"/>
                <w:szCs w:val="19"/>
                <w:color w:val="auto"/>
              </w:rPr>
            </w:pPr>
          </w:p>
        </w:tc>
        <w:tc>
          <w:tcPr>
            <w:tcW w:w="5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BFBFBF"/>
            </w:tcBorders>
          </w:tcPr>
          <w:p>
            <w:pPr>
              <w:spacing w:after="0"/>
              <w:rPr>
                <w:sz w:val="19"/>
                <w:szCs w:val="19"/>
                <w:color w:val="auto"/>
              </w:rPr>
            </w:pPr>
          </w:p>
        </w:tc>
        <w:tc>
          <w:tcPr>
            <w:tcW w:w="460" w:type="dxa"/>
            <w:vAlign w:val="bottom"/>
            <w:tcBorders>
              <w:bottom w:val="single" w:sz="8" w:color="BFBFBF"/>
            </w:tcBorders>
          </w:tcPr>
          <w:p>
            <w:pPr>
              <w:spacing w:after="0"/>
              <w:rPr>
                <w:sz w:val="19"/>
                <w:szCs w:val="19"/>
                <w:color w:val="auto"/>
              </w:rPr>
            </w:pPr>
          </w:p>
        </w:tc>
        <w:tc>
          <w:tcPr>
            <w:tcW w:w="10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(62)</w:t>
            </w:r>
          </w:p>
        </w:tc>
        <w:tc>
          <w:tcPr>
            <w:tcW w:w="820" w:type="dxa"/>
            <w:vAlign w:val="bottom"/>
            <w:tcBorders>
              <w:bottom w:val="single" w:sz="8" w:color="BFBFBF"/>
            </w:tcBorders>
          </w:tcPr>
          <w:p>
            <w:pPr>
              <w:spacing w:after="0"/>
              <w:rPr>
                <w:sz w:val="19"/>
                <w:szCs w:val="19"/>
                <w:color w:val="auto"/>
              </w:rPr>
            </w:pPr>
          </w:p>
        </w:tc>
        <w:tc>
          <w:tcPr>
            <w:tcW w:w="6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BFBFBF"/>
            </w:tcBorders>
          </w:tcPr>
          <w:p>
            <w:pPr>
              <w:ind w:left="460"/>
              <w:spacing w:after="0"/>
              <w:rPr>
                <w:sz w:val="20"/>
                <w:szCs w:val="20"/>
                <w:color w:val="auto"/>
              </w:rPr>
            </w:pPr>
            <w:r>
              <w:rPr>
                <w:rFonts w:ascii="Arial" w:cs="Arial" w:eastAsia="Arial" w:hAnsi="Arial"/>
                <w:sz w:val="18"/>
                <w:szCs w:val="18"/>
                <w:color w:val="auto"/>
              </w:rPr>
              <w:t>Pension adjustments</w:t>
            </w:r>
          </w:p>
        </w:tc>
        <w:tc>
          <w:tcPr>
            <w:tcW w:w="44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BFBFBF"/>
            </w:tcBorders>
          </w:tcPr>
          <w:p>
            <w:pPr>
              <w:spacing w:after="0"/>
              <w:rPr>
                <w:sz w:val="19"/>
                <w:szCs w:val="19"/>
                <w:color w:val="auto"/>
              </w:rPr>
            </w:pPr>
          </w:p>
        </w:tc>
        <w:tc>
          <w:tcPr>
            <w:tcW w:w="680" w:type="dxa"/>
            <w:vAlign w:val="bottom"/>
            <w:tcBorders>
              <w:bottom w:val="single" w:sz="8" w:color="BFBFB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BFBFBF"/>
            </w:tcBorders>
          </w:tcPr>
          <w:p>
            <w:pPr>
              <w:spacing w:after="0"/>
              <w:rPr>
                <w:sz w:val="19"/>
                <w:szCs w:val="19"/>
                <w:color w:val="auto"/>
              </w:rPr>
            </w:pPr>
          </w:p>
        </w:tc>
        <w:tc>
          <w:tcPr>
            <w:tcW w:w="10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BFBFBF"/>
            </w:tcBorders>
          </w:tcPr>
          <w:p>
            <w:pPr>
              <w:spacing w:after="0"/>
              <w:rPr>
                <w:sz w:val="19"/>
                <w:szCs w:val="19"/>
                <w:color w:val="auto"/>
              </w:rPr>
            </w:pPr>
          </w:p>
        </w:tc>
        <w:tc>
          <w:tcPr>
            <w:tcW w:w="6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384348"/>
            </w:tcBorders>
          </w:tcPr>
          <w:p>
            <w:pPr>
              <w:ind w:left="460"/>
              <w:spacing w:after="0"/>
              <w:rPr>
                <w:sz w:val="20"/>
                <w:szCs w:val="20"/>
                <w:color w:val="auto"/>
              </w:rPr>
            </w:pPr>
            <w:r>
              <w:rPr>
                <w:rFonts w:ascii="Arial" w:cs="Arial" w:eastAsia="Arial" w:hAnsi="Arial"/>
                <w:sz w:val="18"/>
                <w:szCs w:val="18"/>
                <w:color w:val="auto"/>
              </w:rPr>
              <w:t>Changes in fair value of cash flow hedges</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color w:val="auto"/>
              </w:rPr>
              <w:t>5</w:t>
            </w:r>
          </w:p>
        </w:tc>
        <w:tc>
          <w:tcPr>
            <w:tcW w:w="920" w:type="dxa"/>
            <w:vAlign w:val="bottom"/>
            <w:tcBorders>
              <w:bottom w:val="single" w:sz="8" w:color="384348"/>
            </w:tcBorders>
          </w:tcPr>
          <w:p>
            <w:pPr>
              <w:spacing w:after="0"/>
              <w:rPr>
                <w:sz w:val="19"/>
                <w:szCs w:val="19"/>
                <w:color w:val="auto"/>
              </w:rPr>
            </w:pPr>
          </w:p>
        </w:tc>
        <w:tc>
          <w:tcPr>
            <w:tcW w:w="680" w:type="dxa"/>
            <w:vAlign w:val="bottom"/>
            <w:tcBorders>
              <w:bottom w:val="single" w:sz="8" w:color="384348"/>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384348"/>
            </w:tcBorders>
          </w:tcPr>
          <w:p>
            <w:pPr>
              <w:spacing w:after="0"/>
              <w:rPr>
                <w:sz w:val="19"/>
                <w:szCs w:val="19"/>
                <w:color w:val="auto"/>
              </w:rPr>
            </w:pPr>
          </w:p>
        </w:tc>
        <w:tc>
          <w:tcPr>
            <w:tcW w:w="10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color w:val="auto"/>
              </w:rPr>
              <w:t>52</w:t>
            </w:r>
          </w:p>
        </w:tc>
        <w:tc>
          <w:tcPr>
            <w:tcW w:w="820" w:type="dxa"/>
            <w:vAlign w:val="bottom"/>
            <w:tcBorders>
              <w:bottom w:val="single" w:sz="8" w:color="384348"/>
            </w:tcBorders>
          </w:tcPr>
          <w:p>
            <w:pPr>
              <w:spacing w:after="0"/>
              <w:rPr>
                <w:sz w:val="19"/>
                <w:szCs w:val="19"/>
                <w:color w:val="auto"/>
              </w:rPr>
            </w:pPr>
          </w:p>
        </w:tc>
        <w:tc>
          <w:tcPr>
            <w:tcW w:w="6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Total other comprehensive (loss) income, net of tax</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(11)</w:t>
            </w:r>
          </w:p>
        </w:tc>
        <w:tc>
          <w:tcPr>
            <w:tcW w:w="920" w:type="dxa"/>
            <w:vAlign w:val="bottom"/>
            <w:tcBorders>
              <w:bottom w:val="single" w:sz="8" w:color="384348"/>
            </w:tcBorders>
          </w:tcPr>
          <w:p>
            <w:pPr>
              <w:spacing w:after="0"/>
              <w:rPr>
                <w:sz w:val="19"/>
                <w:szCs w:val="19"/>
                <w:color w:val="auto"/>
              </w:rPr>
            </w:pPr>
          </w:p>
        </w:tc>
        <w:tc>
          <w:tcPr>
            <w:tcW w:w="5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384348"/>
            </w:tcBorders>
          </w:tcPr>
          <w:p>
            <w:pPr>
              <w:spacing w:after="0"/>
              <w:rPr>
                <w:sz w:val="19"/>
                <w:szCs w:val="19"/>
                <w:color w:val="auto"/>
              </w:rPr>
            </w:pPr>
          </w:p>
        </w:tc>
        <w:tc>
          <w:tcPr>
            <w:tcW w:w="460" w:type="dxa"/>
            <w:vAlign w:val="bottom"/>
            <w:tcBorders>
              <w:bottom w:val="single" w:sz="8" w:color="384348"/>
            </w:tcBorders>
          </w:tcPr>
          <w:p>
            <w:pPr>
              <w:spacing w:after="0"/>
              <w:rPr>
                <w:sz w:val="19"/>
                <w:szCs w:val="19"/>
                <w:color w:val="auto"/>
              </w:rPr>
            </w:pPr>
          </w:p>
        </w:tc>
        <w:tc>
          <w:tcPr>
            <w:tcW w:w="10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(11)</w:t>
            </w:r>
          </w:p>
        </w:tc>
        <w:tc>
          <w:tcPr>
            <w:tcW w:w="820" w:type="dxa"/>
            <w:vAlign w:val="bottom"/>
            <w:tcBorders>
              <w:bottom w:val="single" w:sz="8" w:color="384348"/>
            </w:tcBorders>
          </w:tcPr>
          <w:p>
            <w:pPr>
              <w:spacing w:after="0"/>
              <w:rPr>
                <w:sz w:val="19"/>
                <w:szCs w:val="19"/>
                <w:color w:val="auto"/>
              </w:rPr>
            </w:pPr>
          </w:p>
        </w:tc>
        <w:tc>
          <w:tcPr>
            <w:tcW w:w="6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726</w:t>
            </w:r>
          </w:p>
        </w:tc>
        <w:tc>
          <w:tcPr>
            <w:tcW w:w="920" w:type="dxa"/>
            <w:vAlign w:val="bottom"/>
            <w:tcBorders>
              <w:bottom w:val="single" w:sz="8" w:color="384348"/>
            </w:tcBorders>
          </w:tcPr>
          <w:p>
            <w:pPr>
              <w:spacing w:after="0"/>
              <w:rPr>
                <w:sz w:val="19"/>
                <w:szCs w:val="19"/>
                <w:color w:val="auto"/>
              </w:rPr>
            </w:pPr>
          </w:p>
        </w:tc>
        <w:tc>
          <w:tcPr>
            <w:tcW w:w="5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655</w:t>
            </w:r>
          </w:p>
        </w:tc>
        <w:tc>
          <w:tcPr>
            <w:tcW w:w="100" w:type="dxa"/>
            <w:vAlign w:val="bottom"/>
            <w:tcBorders>
              <w:bottom w:val="single" w:sz="8" w:color="384348"/>
            </w:tcBorders>
          </w:tcPr>
          <w:p>
            <w:pPr>
              <w:spacing w:after="0"/>
              <w:rPr>
                <w:sz w:val="19"/>
                <w:szCs w:val="19"/>
                <w:color w:val="auto"/>
              </w:rPr>
            </w:pPr>
          </w:p>
        </w:tc>
        <w:tc>
          <w:tcPr>
            <w:tcW w:w="460" w:type="dxa"/>
            <w:vAlign w:val="bottom"/>
            <w:tcBorders>
              <w:bottom w:val="single" w:sz="8" w:color="384348"/>
            </w:tcBorders>
          </w:tcPr>
          <w:p>
            <w:pPr>
              <w:spacing w:after="0"/>
              <w:rPr>
                <w:sz w:val="19"/>
                <w:szCs w:val="19"/>
                <w:color w:val="auto"/>
              </w:rPr>
            </w:pPr>
          </w:p>
        </w:tc>
        <w:tc>
          <w:tcPr>
            <w:tcW w:w="10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1,624</w:t>
            </w:r>
          </w:p>
        </w:tc>
        <w:tc>
          <w:tcPr>
            <w:tcW w:w="820" w:type="dxa"/>
            <w:vAlign w:val="bottom"/>
            <w:tcBorders>
              <w:bottom w:val="single" w:sz="8" w:color="384348"/>
            </w:tcBorders>
          </w:tcPr>
          <w:p>
            <w:pPr>
              <w:spacing w:after="0"/>
              <w:rPr>
                <w:sz w:val="19"/>
                <w:szCs w:val="19"/>
                <w:color w:val="auto"/>
              </w:rPr>
            </w:pPr>
          </w:p>
        </w:tc>
        <w:tc>
          <w:tcPr>
            <w:tcW w:w="6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2,377</w:t>
            </w:r>
          </w:p>
        </w:tc>
        <w:tc>
          <w:tcPr>
            <w:tcW w:w="0" w:type="dxa"/>
            <w:vAlign w:val="bottom"/>
          </w:tcPr>
          <w:p>
            <w:pPr>
              <w:spacing w:after="0"/>
              <w:rPr>
                <w:sz w:val="1"/>
                <w:szCs w:val="1"/>
                <w:color w:val="auto"/>
              </w:rPr>
            </w:pPr>
          </w:p>
        </w:tc>
      </w:tr>
      <w:tr>
        <w:trPr>
          <w:trHeight w:val="169"/>
        </w:trPr>
        <w:tc>
          <w:tcPr>
            <w:tcW w:w="5180" w:type="dxa"/>
            <w:vAlign w:val="bottom"/>
          </w:tcPr>
          <w:p>
            <w:pPr>
              <w:ind w:left="20"/>
              <w:spacing w:after="0" w:line="169" w:lineRule="exact"/>
              <w:rPr>
                <w:sz w:val="20"/>
                <w:szCs w:val="20"/>
                <w:color w:val="auto"/>
              </w:rPr>
            </w:pPr>
            <w:r>
              <w:rPr>
                <w:rFonts w:ascii="Arial" w:cs="Arial" w:eastAsia="Arial" w:hAnsi="Arial"/>
                <w:sz w:val="18"/>
                <w:szCs w:val="18"/>
                <w:color w:val="auto"/>
              </w:rPr>
              <w:t>Less: Comprehensive income attributable to noncontrolling</w:t>
            </w:r>
          </w:p>
        </w:tc>
        <w:tc>
          <w:tcPr>
            <w:tcW w:w="440" w:type="dxa"/>
            <w:vAlign w:val="bottom"/>
          </w:tcPr>
          <w:p>
            <w:pPr>
              <w:spacing w:after="0"/>
              <w:rPr>
                <w:sz w:val="14"/>
                <w:szCs w:val="14"/>
                <w:color w:val="auto"/>
              </w:rPr>
            </w:pP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11</w:t>
            </w:r>
          </w:p>
        </w:tc>
        <w:tc>
          <w:tcPr>
            <w:tcW w:w="9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29</w:t>
            </w:r>
          </w:p>
        </w:tc>
        <w:tc>
          <w:tcPr>
            <w:tcW w:w="8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384348"/>
            </w:tcBorders>
          </w:tcPr>
          <w:p>
            <w:pPr>
              <w:ind w:left="180"/>
              <w:spacing w:after="0"/>
              <w:rPr>
                <w:sz w:val="20"/>
                <w:szCs w:val="20"/>
                <w:color w:val="auto"/>
              </w:rPr>
            </w:pPr>
            <w:r>
              <w:rPr>
                <w:rFonts w:ascii="Arial" w:cs="Arial" w:eastAsia="Arial" w:hAnsi="Arial"/>
                <w:sz w:val="18"/>
                <w:szCs w:val="18"/>
                <w:color w:val="auto"/>
              </w:rPr>
              <w:t>interests</w:t>
            </w:r>
          </w:p>
        </w:tc>
        <w:tc>
          <w:tcPr>
            <w:tcW w:w="440" w:type="dxa"/>
            <w:vAlign w:val="bottom"/>
            <w:tcBorders>
              <w:bottom w:val="single" w:sz="8" w:color="384348"/>
            </w:tcBorders>
          </w:tcPr>
          <w:p>
            <w:pPr>
              <w:spacing w:after="0"/>
              <w:rPr>
                <w:sz w:val="21"/>
                <w:szCs w:val="21"/>
                <w:color w:val="auto"/>
              </w:rPr>
            </w:pPr>
          </w:p>
        </w:tc>
        <w:tc>
          <w:tcPr>
            <w:tcW w:w="1040" w:type="dxa"/>
            <w:vAlign w:val="bottom"/>
            <w:tcBorders>
              <w:bottom w:val="single" w:sz="8" w:color="384348"/>
            </w:tcBorders>
            <w:vMerge w:val="continue"/>
          </w:tcPr>
          <w:p>
            <w:pPr>
              <w:spacing w:after="0"/>
              <w:rPr>
                <w:sz w:val="21"/>
                <w:szCs w:val="21"/>
                <w:color w:val="auto"/>
              </w:rPr>
            </w:pPr>
          </w:p>
        </w:tc>
        <w:tc>
          <w:tcPr>
            <w:tcW w:w="920" w:type="dxa"/>
            <w:vAlign w:val="bottom"/>
            <w:tcBorders>
              <w:bottom w:val="single" w:sz="8" w:color="384348"/>
            </w:tcBorders>
          </w:tcPr>
          <w:p>
            <w:pPr>
              <w:spacing w:after="0"/>
              <w:rPr>
                <w:sz w:val="21"/>
                <w:szCs w:val="21"/>
                <w:color w:val="auto"/>
              </w:rPr>
            </w:pPr>
          </w:p>
        </w:tc>
        <w:tc>
          <w:tcPr>
            <w:tcW w:w="580" w:type="dxa"/>
            <w:vAlign w:val="bottom"/>
            <w:tcBorders>
              <w:bottom w:val="single" w:sz="8" w:color="384348"/>
            </w:tcBorders>
            <w:vMerge w:val="continue"/>
          </w:tcPr>
          <w:p>
            <w:pPr>
              <w:spacing w:after="0"/>
              <w:rPr>
                <w:sz w:val="21"/>
                <w:szCs w:val="21"/>
                <w:color w:val="auto"/>
              </w:rPr>
            </w:pPr>
          </w:p>
        </w:tc>
        <w:tc>
          <w:tcPr>
            <w:tcW w:w="100" w:type="dxa"/>
            <w:vAlign w:val="bottom"/>
            <w:tcBorders>
              <w:bottom w:val="single" w:sz="8" w:color="384348"/>
            </w:tcBorders>
          </w:tcPr>
          <w:p>
            <w:pPr>
              <w:spacing w:after="0"/>
              <w:rPr>
                <w:sz w:val="21"/>
                <w:szCs w:val="21"/>
                <w:color w:val="auto"/>
              </w:rPr>
            </w:pPr>
          </w:p>
        </w:tc>
        <w:tc>
          <w:tcPr>
            <w:tcW w:w="460" w:type="dxa"/>
            <w:vAlign w:val="bottom"/>
            <w:tcBorders>
              <w:bottom w:val="single" w:sz="8" w:color="384348"/>
            </w:tcBorders>
          </w:tcPr>
          <w:p>
            <w:pPr>
              <w:spacing w:after="0"/>
              <w:rPr>
                <w:sz w:val="21"/>
                <w:szCs w:val="21"/>
                <w:color w:val="auto"/>
              </w:rPr>
            </w:pPr>
          </w:p>
        </w:tc>
        <w:tc>
          <w:tcPr>
            <w:tcW w:w="1020" w:type="dxa"/>
            <w:vAlign w:val="bottom"/>
            <w:tcBorders>
              <w:bottom w:val="single" w:sz="8" w:color="384348"/>
            </w:tcBorders>
            <w:vMerge w:val="continue"/>
          </w:tcPr>
          <w:p>
            <w:pPr>
              <w:spacing w:after="0"/>
              <w:rPr>
                <w:sz w:val="21"/>
                <w:szCs w:val="21"/>
                <w:color w:val="auto"/>
              </w:rPr>
            </w:pPr>
          </w:p>
        </w:tc>
        <w:tc>
          <w:tcPr>
            <w:tcW w:w="820" w:type="dxa"/>
            <w:vAlign w:val="bottom"/>
            <w:tcBorders>
              <w:bottom w:val="single" w:sz="8" w:color="384348"/>
            </w:tcBorders>
          </w:tcPr>
          <w:p>
            <w:pPr>
              <w:spacing w:after="0"/>
              <w:rPr>
                <w:sz w:val="21"/>
                <w:szCs w:val="21"/>
                <w:color w:val="auto"/>
              </w:rPr>
            </w:pPr>
          </w:p>
        </w:tc>
        <w:tc>
          <w:tcPr>
            <w:tcW w:w="680" w:type="dxa"/>
            <w:vAlign w:val="bottom"/>
            <w:tcBorders>
              <w:bottom w:val="single" w:sz="8" w:color="384348"/>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Comprehensive income attributable to Aerospace</w:t>
            </w:r>
          </w:p>
        </w:tc>
        <w:tc>
          <w:tcPr>
            <w:tcW w:w="440" w:type="dxa"/>
            <w:vAlign w:val="bottom"/>
            <w:tcBorders>
              <w:bottom w:val="single" w:sz="8" w:color="384348"/>
            </w:tcBorders>
          </w:tcPr>
          <w:p>
            <w:pPr>
              <w:jc w:val="right"/>
              <w:ind w:right="236"/>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715</w:t>
            </w:r>
          </w:p>
        </w:tc>
        <w:tc>
          <w:tcPr>
            <w:tcW w:w="920" w:type="dxa"/>
            <w:vAlign w:val="bottom"/>
            <w:tcBorders>
              <w:bottom w:val="single" w:sz="8" w:color="384348"/>
            </w:tcBorders>
          </w:tcPr>
          <w:p>
            <w:pPr>
              <w:jc w:val="right"/>
              <w:ind w:right="656"/>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645</w:t>
            </w:r>
          </w:p>
        </w:tc>
        <w:tc>
          <w:tcPr>
            <w:tcW w:w="100" w:type="dxa"/>
            <w:vAlign w:val="bottom"/>
            <w:tcBorders>
              <w:bottom w:val="single" w:sz="8" w:color="384348"/>
            </w:tcBorders>
          </w:tcPr>
          <w:p>
            <w:pPr>
              <w:spacing w:after="0"/>
              <w:rPr>
                <w:sz w:val="19"/>
                <w:szCs w:val="19"/>
                <w:color w:val="auto"/>
              </w:rPr>
            </w:pPr>
          </w:p>
        </w:tc>
        <w:tc>
          <w:tcPr>
            <w:tcW w:w="460" w:type="dxa"/>
            <w:vAlign w:val="bottom"/>
            <w:tcBorders>
              <w:bottom w:val="single" w:sz="8" w:color="384348"/>
            </w:tcBorders>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1,595</w:t>
            </w:r>
          </w:p>
        </w:tc>
        <w:tc>
          <w:tcPr>
            <w:tcW w:w="820" w:type="dxa"/>
            <w:vAlign w:val="bottom"/>
            <w:tcBorders>
              <w:bottom w:val="single" w:sz="8" w:color="384348"/>
            </w:tcBorders>
          </w:tcPr>
          <w:p>
            <w:pPr>
              <w:jc w:val="right"/>
              <w:ind w:right="556"/>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2,350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AEROSPACE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60" w:type="dxa"/>
            <w:vAlign w:val="bottom"/>
            <w:tcBorders>
              <w:bottom w:val="single" w:sz="8" w:color="FF4400"/>
            </w:tcBorders>
          </w:tcPr>
          <w:p>
            <w:pPr>
              <w:spacing w:after="0"/>
              <w:rPr>
                <w:sz w:val="17"/>
                <w:szCs w:val="17"/>
                <w:color w:val="auto"/>
              </w:rPr>
            </w:pPr>
          </w:p>
        </w:tc>
        <w:tc>
          <w:tcPr>
            <w:tcW w:w="420" w:type="dxa"/>
            <w:vAlign w:val="bottom"/>
            <w:tcBorders>
              <w:bottom w:val="single" w:sz="8" w:color="FF4400"/>
            </w:tcBorders>
          </w:tcPr>
          <w:p>
            <w:pPr>
              <w:spacing w:after="0"/>
              <w:rPr>
                <w:sz w:val="17"/>
                <w:szCs w:val="17"/>
                <w:color w:val="auto"/>
              </w:rPr>
            </w:pPr>
          </w:p>
        </w:tc>
        <w:tc>
          <w:tcPr>
            <w:tcW w:w="1780" w:type="dxa"/>
            <w:vAlign w:val="bottom"/>
            <w:tcBorders>
              <w:bottom w:val="single" w:sz="8" w:color="FF4400"/>
            </w:tcBorders>
          </w:tcPr>
          <w:p>
            <w:pPr>
              <w:jc w:val="right"/>
              <w:ind w:right="250"/>
              <w:spacing w:after="0"/>
              <w:rPr>
                <w:sz w:val="20"/>
                <w:szCs w:val="20"/>
                <w:color w:val="auto"/>
              </w:rPr>
            </w:pPr>
            <w:r>
              <w:rPr>
                <w:rFonts w:ascii="Arial" w:cs="Arial" w:eastAsia="Arial" w:hAnsi="Arial"/>
                <w:sz w:val="14"/>
                <w:szCs w:val="14"/>
                <w:b w:val="1"/>
                <w:bCs w:val="1"/>
                <w:color w:val="auto"/>
              </w:rPr>
              <w:t>September 26, 2026</w:t>
            </w:r>
          </w:p>
        </w:tc>
        <w:tc>
          <w:tcPr>
            <w:tcW w:w="260" w:type="dxa"/>
            <w:vAlign w:val="bottom"/>
            <w:tcBorders>
              <w:bottom w:val="single" w:sz="8" w:color="FF4400"/>
            </w:tcBorders>
          </w:tcPr>
          <w:p>
            <w:pPr>
              <w:spacing w:after="0"/>
              <w:rPr>
                <w:sz w:val="17"/>
                <w:szCs w:val="17"/>
                <w:color w:val="auto"/>
              </w:rPr>
            </w:pPr>
          </w:p>
        </w:tc>
        <w:tc>
          <w:tcPr>
            <w:tcW w:w="1720" w:type="dxa"/>
            <w:vAlign w:val="bottom"/>
            <w:tcBorders>
              <w:bottom w:val="single" w:sz="8" w:color="FF4400"/>
            </w:tcBorders>
          </w:tcPr>
          <w:p>
            <w:pPr>
              <w:jc w:val="right"/>
              <w:ind w:right="23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24"/>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spacing w:after="0"/>
              <w:rPr>
                <w:sz w:val="19"/>
                <w:szCs w:val="19"/>
                <w:color w:val="auto"/>
              </w:rPr>
            </w:pP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spacing w:after="0"/>
              <w:rPr>
                <w:sz w:val="19"/>
                <w:szCs w:val="19"/>
                <w:color w:val="auto"/>
              </w:rPr>
            </w:pP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1,558</w:t>
            </w:r>
          </w:p>
        </w:tc>
        <w:tc>
          <w:tcPr>
            <w:tcW w:w="26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Accounts receivable, less allowances of $54 and $33, respectively</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2,324</w:t>
            </w: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Inventories</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4,624</w:t>
            </w: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Current contract assets</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1,462</w:t>
            </w: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ind w:right="30"/>
              <w:spacing w:after="0"/>
              <w:rPr>
                <w:sz w:val="20"/>
                <w:szCs w:val="20"/>
                <w:color w:val="auto"/>
              </w:rPr>
            </w:pPr>
            <w:r>
              <w:rPr>
                <w:rFonts w:ascii="Arial" w:cs="Arial" w:eastAsia="Arial" w:hAnsi="Arial"/>
                <w:sz w:val="18"/>
                <w:szCs w:val="18"/>
                <w:color w:val="auto"/>
              </w:rPr>
              <w:t>544</w:t>
            </w:r>
          </w:p>
        </w:tc>
        <w:tc>
          <w:tcPr>
            <w:tcW w:w="260" w:type="dxa"/>
            <w:vAlign w:val="bottom"/>
            <w:tcBorders>
              <w:bottom w:val="single" w:sz="8" w:color="384348"/>
            </w:tcBorders>
          </w:tcPr>
          <w:p>
            <w:pPr>
              <w:spacing w:after="0"/>
              <w:rPr>
                <w:sz w:val="19"/>
                <w:szCs w:val="19"/>
                <w:color w:val="auto"/>
              </w:rPr>
            </w:pPr>
          </w:p>
        </w:tc>
        <w:tc>
          <w:tcPr>
            <w:tcW w:w="1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Total current assets</w:t>
            </w:r>
          </w:p>
        </w:tc>
        <w:tc>
          <w:tcPr>
            <w:tcW w:w="42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ind w:right="30"/>
              <w:spacing w:after="0"/>
              <w:rPr>
                <w:sz w:val="20"/>
                <w:szCs w:val="20"/>
                <w:color w:val="auto"/>
              </w:rPr>
            </w:pPr>
            <w:r>
              <w:rPr>
                <w:rFonts w:ascii="Arial" w:cs="Arial" w:eastAsia="Arial" w:hAnsi="Arial"/>
                <w:sz w:val="18"/>
                <w:szCs w:val="18"/>
                <w:b w:val="1"/>
                <w:bCs w:val="1"/>
                <w:color w:val="auto"/>
              </w:rPr>
              <w:t>10,512</w:t>
            </w:r>
          </w:p>
        </w:tc>
        <w:tc>
          <w:tcPr>
            <w:tcW w:w="260" w:type="dxa"/>
            <w:vAlign w:val="bottom"/>
            <w:tcBorders>
              <w:bottom w:val="single" w:sz="8" w:color="384348"/>
            </w:tcBorders>
          </w:tcPr>
          <w:p>
            <w:pPr>
              <w:spacing w:after="0"/>
              <w:rPr>
                <w:sz w:val="19"/>
                <w:szCs w:val="19"/>
                <w:color w:val="auto"/>
              </w:rPr>
            </w:pPr>
          </w:p>
        </w:tc>
        <w:tc>
          <w:tcPr>
            <w:tcW w:w="1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8,390</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2,318</w:t>
            </w: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3,035</w:t>
            </w: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Other intangible assets, net</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2,239</w:t>
            </w: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Deferred tax assets</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Pension assets</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3,039</w:t>
            </w: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ind w:right="30"/>
              <w:spacing w:after="0"/>
              <w:rPr>
                <w:sz w:val="20"/>
                <w:szCs w:val="20"/>
                <w:color w:val="auto"/>
              </w:rPr>
            </w:pPr>
            <w:r>
              <w:rPr>
                <w:rFonts w:ascii="Arial" w:cs="Arial" w:eastAsia="Arial" w:hAnsi="Arial"/>
                <w:sz w:val="18"/>
                <w:szCs w:val="18"/>
                <w:color w:val="auto"/>
              </w:rPr>
              <w:t>1,817</w:t>
            </w:r>
          </w:p>
        </w:tc>
        <w:tc>
          <w:tcPr>
            <w:tcW w:w="260" w:type="dxa"/>
            <w:vAlign w:val="bottom"/>
            <w:tcBorders>
              <w:bottom w:val="single" w:sz="8" w:color="384348"/>
            </w:tcBorders>
          </w:tcPr>
          <w:p>
            <w:pPr>
              <w:spacing w:after="0"/>
              <w:rPr>
                <w:sz w:val="19"/>
                <w:szCs w:val="19"/>
                <w:color w:val="auto"/>
              </w:rPr>
            </w:pPr>
          </w:p>
        </w:tc>
        <w:tc>
          <w:tcPr>
            <w:tcW w:w="1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384348"/>
            </w:tcBorders>
          </w:tcPr>
          <w:p>
            <w:pPr>
              <w:jc w:val="right"/>
              <w:ind w:right="30"/>
              <w:spacing w:after="0"/>
              <w:rPr>
                <w:sz w:val="20"/>
                <w:szCs w:val="20"/>
                <w:color w:val="auto"/>
              </w:rPr>
            </w:pPr>
            <w:r>
              <w:rPr>
                <w:rFonts w:ascii="Arial" w:cs="Arial" w:eastAsia="Arial" w:hAnsi="Arial"/>
                <w:sz w:val="18"/>
                <w:szCs w:val="18"/>
                <w:b w:val="1"/>
                <w:bCs w:val="1"/>
                <w:color w:val="auto"/>
              </w:rPr>
              <w:t>23,032</w:t>
            </w:r>
          </w:p>
        </w:tc>
        <w:tc>
          <w:tcPr>
            <w:tcW w:w="26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17,685</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spacing w:after="0"/>
              <w:rPr>
                <w:sz w:val="19"/>
                <w:szCs w:val="19"/>
                <w:color w:val="auto"/>
              </w:rPr>
            </w:pP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spacing w:after="0"/>
              <w:rPr>
                <w:sz w:val="19"/>
                <w:szCs w:val="19"/>
                <w:color w:val="auto"/>
              </w:rPr>
            </w:pP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2,931</w:t>
            </w:r>
          </w:p>
        </w:tc>
        <w:tc>
          <w:tcPr>
            <w:tcW w:w="26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Current contract liabilities</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1,612</w:t>
            </w: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Accrued liabilities</w:t>
            </w:r>
          </w:p>
        </w:tc>
        <w:tc>
          <w:tcPr>
            <w:tcW w:w="42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ind w:right="30"/>
              <w:spacing w:after="0"/>
              <w:rPr>
                <w:sz w:val="20"/>
                <w:szCs w:val="20"/>
                <w:color w:val="auto"/>
              </w:rPr>
            </w:pPr>
            <w:r>
              <w:rPr>
                <w:rFonts w:ascii="Arial" w:cs="Arial" w:eastAsia="Arial" w:hAnsi="Arial"/>
                <w:sz w:val="18"/>
                <w:szCs w:val="18"/>
                <w:color w:val="auto"/>
              </w:rPr>
              <w:t>1,857</w:t>
            </w:r>
          </w:p>
        </w:tc>
        <w:tc>
          <w:tcPr>
            <w:tcW w:w="260" w:type="dxa"/>
            <w:vAlign w:val="bottom"/>
            <w:tcBorders>
              <w:bottom w:val="single" w:sz="8" w:color="384348"/>
            </w:tcBorders>
          </w:tcPr>
          <w:p>
            <w:pPr>
              <w:spacing w:after="0"/>
              <w:rPr>
                <w:sz w:val="19"/>
                <w:szCs w:val="19"/>
                <w:color w:val="auto"/>
              </w:rPr>
            </w:pPr>
          </w:p>
        </w:tc>
        <w:tc>
          <w:tcPr>
            <w:tcW w:w="1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42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ind w:right="30"/>
              <w:spacing w:after="0"/>
              <w:rPr>
                <w:sz w:val="20"/>
                <w:szCs w:val="20"/>
                <w:color w:val="auto"/>
              </w:rPr>
            </w:pPr>
            <w:r>
              <w:rPr>
                <w:rFonts w:ascii="Arial" w:cs="Arial" w:eastAsia="Arial" w:hAnsi="Arial"/>
                <w:sz w:val="18"/>
                <w:szCs w:val="18"/>
                <w:b w:val="1"/>
                <w:bCs w:val="1"/>
                <w:color w:val="auto"/>
              </w:rPr>
              <w:t>6,400</w:t>
            </w:r>
          </w:p>
        </w:tc>
        <w:tc>
          <w:tcPr>
            <w:tcW w:w="260" w:type="dxa"/>
            <w:vAlign w:val="bottom"/>
            <w:tcBorders>
              <w:bottom w:val="single" w:sz="8" w:color="384348"/>
            </w:tcBorders>
          </w:tcPr>
          <w:p>
            <w:pPr>
              <w:spacing w:after="0"/>
              <w:rPr>
                <w:sz w:val="19"/>
                <w:szCs w:val="19"/>
                <w:color w:val="auto"/>
              </w:rPr>
            </w:pPr>
          </w:p>
        </w:tc>
        <w:tc>
          <w:tcPr>
            <w:tcW w:w="1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6,577</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Long-term debt</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15,853</w:t>
            </w: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Contract liabilities</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1,075</w:t>
            </w: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679</w:t>
            </w: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ind w:right="30"/>
              <w:spacing w:after="0"/>
              <w:rPr>
                <w:sz w:val="20"/>
                <w:szCs w:val="20"/>
                <w:color w:val="auto"/>
              </w:rPr>
            </w:pPr>
            <w:r>
              <w:rPr>
                <w:rFonts w:ascii="Arial" w:cs="Arial" w:eastAsia="Arial" w:hAnsi="Arial"/>
                <w:sz w:val="18"/>
                <w:szCs w:val="18"/>
                <w:color w:val="auto"/>
              </w:rPr>
              <w:t>1,514</w:t>
            </w:r>
          </w:p>
        </w:tc>
        <w:tc>
          <w:tcPr>
            <w:tcW w:w="260" w:type="dxa"/>
            <w:vAlign w:val="bottom"/>
            <w:tcBorders>
              <w:bottom w:val="single" w:sz="8" w:color="384348"/>
            </w:tcBorders>
          </w:tcPr>
          <w:p>
            <w:pPr>
              <w:spacing w:after="0"/>
              <w:rPr>
                <w:sz w:val="19"/>
                <w:szCs w:val="19"/>
                <w:color w:val="auto"/>
              </w:rPr>
            </w:pPr>
          </w:p>
        </w:tc>
        <w:tc>
          <w:tcPr>
            <w:tcW w:w="1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ind w:right="30"/>
              <w:spacing w:after="0"/>
              <w:rPr>
                <w:sz w:val="20"/>
                <w:szCs w:val="20"/>
                <w:color w:val="auto"/>
              </w:rPr>
            </w:pPr>
            <w:r>
              <w:rPr>
                <w:rFonts w:ascii="Arial" w:cs="Arial" w:eastAsia="Arial" w:hAnsi="Arial"/>
                <w:sz w:val="18"/>
                <w:szCs w:val="18"/>
                <w:b w:val="1"/>
                <w:bCs w:val="1"/>
                <w:color w:val="auto"/>
              </w:rPr>
              <w:t>25,521</w:t>
            </w:r>
          </w:p>
        </w:tc>
        <w:tc>
          <w:tcPr>
            <w:tcW w:w="260" w:type="dxa"/>
            <w:vAlign w:val="bottom"/>
            <w:tcBorders>
              <w:bottom w:val="single" w:sz="8" w:color="384348"/>
            </w:tcBorders>
          </w:tcPr>
          <w:p>
            <w:pPr>
              <w:spacing w:after="0"/>
              <w:rPr>
                <w:sz w:val="19"/>
                <w:szCs w:val="19"/>
                <w:color w:val="auto"/>
              </w:rPr>
            </w:pPr>
          </w:p>
        </w:tc>
        <w:tc>
          <w:tcPr>
            <w:tcW w:w="1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9,189</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EQUITY</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spacing w:after="0"/>
              <w:rPr>
                <w:sz w:val="19"/>
                <w:szCs w:val="19"/>
                <w:color w:val="auto"/>
              </w:rPr>
            </w:pP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060" w:type="dxa"/>
            <w:vAlign w:val="bottom"/>
          </w:tcPr>
          <w:p>
            <w:pPr>
              <w:ind w:left="20"/>
              <w:spacing w:after="0" w:line="169" w:lineRule="exact"/>
              <w:rPr>
                <w:sz w:val="20"/>
                <w:szCs w:val="20"/>
                <w:color w:val="auto"/>
              </w:rPr>
            </w:pPr>
            <w:r>
              <w:rPr>
                <w:rFonts w:ascii="Arial" w:cs="Arial" w:eastAsia="Arial" w:hAnsi="Arial"/>
                <w:sz w:val="18"/>
                <w:szCs w:val="18"/>
                <w:color w:val="auto"/>
              </w:rPr>
              <w:t>Preferred stock, par value $0.01 per share; 40.0 million shares authorized; no shares</w:t>
            </w:r>
          </w:p>
        </w:tc>
        <w:tc>
          <w:tcPr>
            <w:tcW w:w="420" w:type="dxa"/>
            <w:vAlign w:val="bottom"/>
          </w:tcPr>
          <w:p>
            <w:pPr>
              <w:spacing w:after="0"/>
              <w:rPr>
                <w:sz w:val="14"/>
                <w:szCs w:val="14"/>
                <w:color w:val="auto"/>
              </w:rPr>
            </w:pPr>
          </w:p>
        </w:tc>
        <w:tc>
          <w:tcPr>
            <w:tcW w:w="1780" w:type="dxa"/>
            <w:vAlign w:val="bottom"/>
            <w:vMerge w:val="restart"/>
          </w:tcPr>
          <w:p>
            <w:pPr>
              <w:jc w:val="right"/>
              <w:ind w:right="3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1"/>
        </w:trPr>
        <w:tc>
          <w:tcPr>
            <w:tcW w:w="706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auto"/>
              </w:rPr>
              <w:t>issued and outstanding</w:t>
            </w:r>
          </w:p>
        </w:tc>
        <w:tc>
          <w:tcPr>
            <w:tcW w:w="420" w:type="dxa"/>
            <w:vAlign w:val="bottom"/>
            <w:tcBorders>
              <w:bottom w:val="single" w:sz="8" w:color="BFBFBF"/>
            </w:tcBorders>
          </w:tcPr>
          <w:p>
            <w:pPr>
              <w:spacing w:after="0"/>
              <w:rPr>
                <w:sz w:val="20"/>
                <w:szCs w:val="20"/>
                <w:color w:val="auto"/>
              </w:rPr>
            </w:pPr>
          </w:p>
        </w:tc>
        <w:tc>
          <w:tcPr>
            <w:tcW w:w="1780" w:type="dxa"/>
            <w:vAlign w:val="bottom"/>
            <w:tcBorders>
              <w:bottom w:val="single" w:sz="8" w:color="BFBFBF"/>
            </w:tcBorders>
            <w:vMerge w:val="continue"/>
          </w:tcPr>
          <w:p>
            <w:pPr>
              <w:spacing w:after="0"/>
              <w:rPr>
                <w:sz w:val="20"/>
                <w:szCs w:val="20"/>
                <w:color w:val="auto"/>
              </w:rPr>
            </w:pPr>
          </w:p>
        </w:tc>
        <w:tc>
          <w:tcPr>
            <w:tcW w:w="260" w:type="dxa"/>
            <w:vAlign w:val="bottom"/>
            <w:tcBorders>
              <w:bottom w:val="single" w:sz="8" w:color="BFBFBF"/>
            </w:tcBorders>
          </w:tcPr>
          <w:p>
            <w:pPr>
              <w:spacing w:after="0"/>
              <w:rPr>
                <w:sz w:val="20"/>
                <w:szCs w:val="20"/>
                <w:color w:val="auto"/>
              </w:rPr>
            </w:pPr>
          </w:p>
        </w:tc>
        <w:tc>
          <w:tcPr>
            <w:tcW w:w="1720" w:type="dxa"/>
            <w:vAlign w:val="bottom"/>
            <w:tcBorders>
              <w:bottom w:val="single" w:sz="8" w:color="BFBFB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060" w:type="dxa"/>
            <w:vAlign w:val="bottom"/>
          </w:tcPr>
          <w:p>
            <w:pPr>
              <w:ind w:left="20"/>
              <w:spacing w:after="0" w:line="170" w:lineRule="exact"/>
              <w:rPr>
                <w:sz w:val="20"/>
                <w:szCs w:val="20"/>
                <w:color w:val="auto"/>
              </w:rPr>
            </w:pPr>
            <w:r>
              <w:rPr>
                <w:rFonts w:ascii="Arial" w:cs="Arial" w:eastAsia="Arial" w:hAnsi="Arial"/>
                <w:sz w:val="18"/>
                <w:szCs w:val="18"/>
                <w:color w:val="auto"/>
              </w:rPr>
              <w:t>Common stock, par value $0.01 per share; 1.0 billion shares authorized; 317.0 million</w:t>
            </w:r>
          </w:p>
        </w:tc>
        <w:tc>
          <w:tcPr>
            <w:tcW w:w="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060" w:type="dxa"/>
            <w:vAlign w:val="bottom"/>
          </w:tcPr>
          <w:p>
            <w:pPr>
              <w:ind w:left="180"/>
              <w:spacing w:after="0" w:line="183" w:lineRule="exact"/>
              <w:rPr>
                <w:sz w:val="20"/>
                <w:szCs w:val="20"/>
                <w:color w:val="auto"/>
              </w:rPr>
            </w:pPr>
            <w:r>
              <w:rPr>
                <w:rFonts w:ascii="Arial" w:cs="Arial" w:eastAsia="Arial" w:hAnsi="Arial"/>
                <w:sz w:val="18"/>
                <w:szCs w:val="18"/>
                <w:color w:val="auto"/>
              </w:rPr>
              <w:t>shares issued and outstanding as of September 26, 2026; no shares issued and</w:t>
            </w:r>
          </w:p>
        </w:tc>
        <w:tc>
          <w:tcPr>
            <w:tcW w:w="420" w:type="dxa"/>
            <w:vAlign w:val="bottom"/>
          </w:tcPr>
          <w:p>
            <w:pPr>
              <w:spacing w:after="0"/>
              <w:rPr>
                <w:sz w:val="15"/>
                <w:szCs w:val="15"/>
                <w:color w:val="auto"/>
              </w:rPr>
            </w:pPr>
          </w:p>
        </w:tc>
        <w:tc>
          <w:tcPr>
            <w:tcW w:w="1780" w:type="dxa"/>
            <w:vAlign w:val="bottom"/>
            <w:vMerge w:val="restart"/>
          </w:tcPr>
          <w:p>
            <w:pPr>
              <w:jc w:val="right"/>
              <w:ind w:right="3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06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auto"/>
              </w:rPr>
              <w:t>outstanding as of December 31, 2025</w:t>
            </w:r>
          </w:p>
        </w:tc>
        <w:tc>
          <w:tcPr>
            <w:tcW w:w="420" w:type="dxa"/>
            <w:vAlign w:val="bottom"/>
            <w:tcBorders>
              <w:bottom w:val="single" w:sz="8" w:color="BFBFBF"/>
            </w:tcBorders>
          </w:tcPr>
          <w:p>
            <w:pPr>
              <w:spacing w:after="0"/>
              <w:rPr>
                <w:sz w:val="20"/>
                <w:szCs w:val="20"/>
                <w:color w:val="auto"/>
              </w:rPr>
            </w:pPr>
          </w:p>
        </w:tc>
        <w:tc>
          <w:tcPr>
            <w:tcW w:w="1780" w:type="dxa"/>
            <w:vAlign w:val="bottom"/>
            <w:tcBorders>
              <w:bottom w:val="single" w:sz="8" w:color="BFBFBF"/>
            </w:tcBorders>
            <w:vMerge w:val="continue"/>
          </w:tcPr>
          <w:p>
            <w:pPr>
              <w:spacing w:after="0"/>
              <w:rPr>
                <w:sz w:val="20"/>
                <w:szCs w:val="20"/>
                <w:color w:val="auto"/>
              </w:rPr>
            </w:pPr>
          </w:p>
        </w:tc>
        <w:tc>
          <w:tcPr>
            <w:tcW w:w="260" w:type="dxa"/>
            <w:vAlign w:val="bottom"/>
            <w:tcBorders>
              <w:bottom w:val="single" w:sz="8" w:color="BFBFBF"/>
            </w:tcBorders>
          </w:tcPr>
          <w:p>
            <w:pPr>
              <w:spacing w:after="0"/>
              <w:rPr>
                <w:sz w:val="20"/>
                <w:szCs w:val="20"/>
                <w:color w:val="auto"/>
              </w:rPr>
            </w:pPr>
          </w:p>
        </w:tc>
        <w:tc>
          <w:tcPr>
            <w:tcW w:w="1720" w:type="dxa"/>
            <w:vAlign w:val="bottom"/>
            <w:tcBorders>
              <w:bottom w:val="single" w:sz="8" w:color="BFBFB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Additional paid-in capital</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Accumulated deficit</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(1,804)</w:t>
            </w: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Parent investment</w:t>
            </w:r>
          </w:p>
        </w:tc>
        <w:tc>
          <w:tcPr>
            <w:tcW w:w="42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BFBF"/>
            </w:tcBorders>
          </w:tcPr>
          <w:p>
            <w:pPr>
              <w:spacing w:after="0"/>
              <w:rPr>
                <w:sz w:val="19"/>
                <w:szCs w:val="19"/>
                <w:color w:val="auto"/>
              </w:rPr>
            </w:pP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Borders>
              <w:bottom w:val="single" w:sz="8" w:color="384348"/>
            </w:tcBorders>
          </w:tcPr>
          <w:p>
            <w:pPr>
              <w:spacing w:after="0"/>
              <w:rPr>
                <w:sz w:val="19"/>
                <w:szCs w:val="19"/>
                <w:color w:val="auto"/>
              </w:rPr>
            </w:pPr>
          </w:p>
        </w:tc>
        <w:tc>
          <w:tcPr>
            <w:tcW w:w="1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Total (deficit) equity attributable to Aerospace</w:t>
            </w:r>
          </w:p>
        </w:tc>
        <w:tc>
          <w:tcPr>
            <w:tcW w:w="42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(2,572)</w:t>
            </w:r>
          </w:p>
        </w:tc>
        <w:tc>
          <w:tcPr>
            <w:tcW w:w="260" w:type="dxa"/>
            <w:vAlign w:val="bottom"/>
            <w:tcBorders>
              <w:bottom w:val="single" w:sz="8" w:color="384348"/>
            </w:tcBorders>
          </w:tcPr>
          <w:p>
            <w:pPr>
              <w:spacing w:after="0"/>
              <w:rPr>
                <w:sz w:val="19"/>
                <w:szCs w:val="19"/>
                <w:color w:val="auto"/>
              </w:rPr>
            </w:pPr>
          </w:p>
        </w:tc>
        <w:tc>
          <w:tcPr>
            <w:tcW w:w="1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8,399</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Noncontrolling interests</w:t>
            </w:r>
          </w:p>
        </w:tc>
        <w:tc>
          <w:tcPr>
            <w:tcW w:w="42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ind w:right="30"/>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384348"/>
            </w:tcBorders>
          </w:tcPr>
          <w:p>
            <w:pPr>
              <w:spacing w:after="0"/>
              <w:rPr>
                <w:sz w:val="19"/>
                <w:szCs w:val="19"/>
                <w:color w:val="auto"/>
              </w:rPr>
            </w:pPr>
          </w:p>
        </w:tc>
        <w:tc>
          <w:tcPr>
            <w:tcW w:w="1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Total (deficit) equity</w:t>
            </w:r>
          </w:p>
        </w:tc>
        <w:tc>
          <w:tcPr>
            <w:tcW w:w="42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(2,489)</w:t>
            </w:r>
          </w:p>
        </w:tc>
        <w:tc>
          <w:tcPr>
            <w:tcW w:w="260" w:type="dxa"/>
            <w:vAlign w:val="bottom"/>
            <w:tcBorders>
              <w:bottom w:val="single" w:sz="8" w:color="384348"/>
            </w:tcBorders>
          </w:tcPr>
          <w:p>
            <w:pPr>
              <w:spacing w:after="0"/>
              <w:rPr>
                <w:sz w:val="19"/>
                <w:szCs w:val="19"/>
                <w:color w:val="auto"/>
              </w:rPr>
            </w:pPr>
          </w:p>
        </w:tc>
        <w:tc>
          <w:tcPr>
            <w:tcW w:w="1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8,496</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Total liabilities and (deficit) equity</w:t>
            </w:r>
          </w:p>
        </w:tc>
        <w:tc>
          <w:tcPr>
            <w:tcW w:w="42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384348"/>
            </w:tcBorders>
          </w:tcPr>
          <w:p>
            <w:pPr>
              <w:jc w:val="right"/>
              <w:ind w:right="30"/>
              <w:spacing w:after="0"/>
              <w:rPr>
                <w:sz w:val="20"/>
                <w:szCs w:val="20"/>
                <w:color w:val="auto"/>
              </w:rPr>
            </w:pPr>
            <w:r>
              <w:rPr>
                <w:rFonts w:ascii="Arial" w:cs="Arial" w:eastAsia="Arial" w:hAnsi="Arial"/>
                <w:sz w:val="18"/>
                <w:szCs w:val="18"/>
                <w:b w:val="1"/>
                <w:bCs w:val="1"/>
                <w:color w:val="auto"/>
              </w:rPr>
              <w:t>23,032</w:t>
            </w:r>
          </w:p>
        </w:tc>
        <w:tc>
          <w:tcPr>
            <w:tcW w:w="26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17,685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this statement.</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AEROSPACE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20" w:type="dxa"/>
            <w:vAlign w:val="bottom"/>
            <w:tcBorders>
              <w:bottom w:val="single" w:sz="8" w:color="FF4400"/>
            </w:tcBorders>
          </w:tcPr>
          <w:p>
            <w:pPr>
              <w:spacing w:after="0"/>
              <w:rPr>
                <w:sz w:val="17"/>
                <w:szCs w:val="17"/>
                <w:color w:val="auto"/>
              </w:rPr>
            </w:pPr>
          </w:p>
        </w:tc>
        <w:tc>
          <w:tcPr>
            <w:tcW w:w="3140" w:type="dxa"/>
            <w:vAlign w:val="bottom"/>
            <w:tcBorders>
              <w:bottom w:val="single" w:sz="8" w:color="FF4400"/>
            </w:tcBorders>
            <w:gridSpan w:val="4"/>
          </w:tcPr>
          <w:p>
            <w:pPr>
              <w:jc w:val="right"/>
              <w:ind w:right="87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980" w:type="dxa"/>
            <w:vAlign w:val="bottom"/>
            <w:tcBorders>
              <w:bottom w:val="single" w:sz="8" w:color="FF4400"/>
            </w:tcBorders>
          </w:tcPr>
          <w:p>
            <w:pPr>
              <w:spacing w:after="0"/>
              <w:rPr>
                <w:sz w:val="17"/>
                <w:szCs w:val="17"/>
                <w:color w:val="auto"/>
              </w:rPr>
            </w:pPr>
          </w:p>
        </w:tc>
        <w:tc>
          <w:tcPr>
            <w:tcW w:w="120" w:type="dxa"/>
            <w:vAlign w:val="bottom"/>
            <w:tcBorders>
              <w:bottom w:val="single" w:sz="8" w:color="FF4400"/>
            </w:tcBorders>
          </w:tcPr>
          <w:p>
            <w:pPr>
              <w:spacing w:after="0"/>
              <w:rPr>
                <w:sz w:val="17"/>
                <w:szCs w:val="17"/>
                <w:color w:val="auto"/>
              </w:rPr>
            </w:pPr>
          </w:p>
        </w:tc>
        <w:tc>
          <w:tcPr>
            <w:tcW w:w="1560" w:type="dxa"/>
            <w:vAlign w:val="bottom"/>
            <w:tcBorders>
              <w:bottom w:val="single" w:sz="8" w:color="FF4400"/>
            </w:tcBorders>
            <w:gridSpan w:val="2"/>
          </w:tcPr>
          <w:p>
            <w:pPr>
              <w:spacing w:after="0"/>
              <w:rPr>
                <w:sz w:val="20"/>
                <w:szCs w:val="20"/>
                <w:color w:val="auto"/>
              </w:rPr>
            </w:pPr>
            <w:r>
              <w:rPr>
                <w:rFonts w:ascii="Arial" w:cs="Arial" w:eastAsia="Arial" w:hAnsi="Arial"/>
                <w:sz w:val="14"/>
                <w:szCs w:val="14"/>
                <w:b w:val="1"/>
                <w:bCs w:val="1"/>
                <w:color w:val="auto"/>
              </w:rPr>
              <w:t>September 26, 2026</w:t>
            </w:r>
          </w:p>
        </w:tc>
        <w:tc>
          <w:tcPr>
            <w:tcW w:w="120" w:type="dxa"/>
            <w:vAlign w:val="bottom"/>
            <w:tcBorders>
              <w:bottom w:val="single" w:sz="8" w:color="FF4400"/>
            </w:tcBorders>
          </w:tcPr>
          <w:p>
            <w:pPr>
              <w:spacing w:after="0"/>
              <w:rPr>
                <w:sz w:val="17"/>
                <w:szCs w:val="17"/>
                <w:color w:val="auto"/>
              </w:rPr>
            </w:pPr>
          </w:p>
        </w:tc>
        <w:tc>
          <w:tcPr>
            <w:tcW w:w="1460" w:type="dxa"/>
            <w:vAlign w:val="bottom"/>
            <w:tcBorders>
              <w:bottom w:val="single" w:sz="8" w:color="FF4400"/>
            </w:tcBorders>
          </w:tcPr>
          <w:p>
            <w:pPr>
              <w:jc w:val="right"/>
              <w:ind w:right="30"/>
              <w:spacing w:after="0"/>
              <w:rPr>
                <w:sz w:val="20"/>
                <w:szCs w:val="20"/>
                <w:color w:val="auto"/>
              </w:rPr>
            </w:pPr>
            <w:r>
              <w:rPr>
                <w:rFonts w:ascii="Arial" w:cs="Arial" w:eastAsia="Arial" w:hAnsi="Arial"/>
                <w:sz w:val="14"/>
                <w:szCs w:val="14"/>
                <w:b w:val="1"/>
                <w:bCs w:val="1"/>
                <w:color w:val="auto"/>
              </w:rPr>
              <w:t>September 27, 2025</w:t>
            </w:r>
          </w:p>
        </w:tc>
      </w:tr>
      <w:tr>
        <w:trPr>
          <w:trHeight w:val="224"/>
        </w:trPr>
        <w:tc>
          <w:tcPr>
            <w:tcW w:w="798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spacing w:after="0"/>
              <w:rPr>
                <w:sz w:val="19"/>
                <w:szCs w:val="19"/>
                <w:color w:val="auto"/>
              </w:rPr>
            </w:pP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spacing w:after="0"/>
              <w:rPr>
                <w:sz w:val="19"/>
                <w:szCs w:val="19"/>
                <w:color w:val="auto"/>
              </w:rPr>
            </w:pPr>
          </w:p>
        </w:tc>
      </w:tr>
      <w:tr>
        <w:trPr>
          <w:trHeight w:val="223"/>
        </w:trPr>
        <w:tc>
          <w:tcPr>
            <w:tcW w:w="79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2,292</w:t>
            </w:r>
          </w:p>
        </w:tc>
      </w:tr>
      <w:tr>
        <w:trPr>
          <w:trHeight w:val="223"/>
        </w:trPr>
        <w:tc>
          <w:tcPr>
            <w:tcW w:w="79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spacing w:after="0"/>
              <w:rPr>
                <w:sz w:val="19"/>
                <w:szCs w:val="19"/>
                <w:color w:val="auto"/>
              </w:rPr>
            </w:pP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spacing w:after="0"/>
              <w:rPr>
                <w:sz w:val="19"/>
                <w:szCs w:val="19"/>
                <w:color w:val="auto"/>
              </w:rPr>
            </w:pPr>
          </w:p>
        </w:tc>
      </w:tr>
      <w:tr>
        <w:trPr>
          <w:trHeight w:val="223"/>
        </w:trPr>
        <w:tc>
          <w:tcPr>
            <w:tcW w:w="7980" w:type="dxa"/>
            <w:vAlign w:val="bottom"/>
            <w:tcBorders>
              <w:bottom w:val="single" w:sz="8" w:color="BFBFBF"/>
            </w:tcBorders>
          </w:tcPr>
          <w:p>
            <w:pPr>
              <w:ind w:left="46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204</w:t>
            </w:r>
          </w:p>
        </w:tc>
      </w:tr>
      <w:tr>
        <w:trPr>
          <w:trHeight w:val="223"/>
        </w:trPr>
        <w:tc>
          <w:tcPr>
            <w:tcW w:w="7980" w:type="dxa"/>
            <w:vAlign w:val="bottom"/>
            <w:tcBorders>
              <w:bottom w:val="single" w:sz="8" w:color="BFBFBF"/>
            </w:tcBorders>
          </w:tcPr>
          <w:p>
            <w:pPr>
              <w:ind w:left="460"/>
              <w:spacing w:after="0"/>
              <w:rPr>
                <w:sz w:val="20"/>
                <w:szCs w:val="20"/>
                <w:color w:val="auto"/>
              </w:rPr>
            </w:pPr>
            <w:r>
              <w:rPr>
                <w:rFonts w:ascii="Arial" w:cs="Arial" w:eastAsia="Arial" w:hAnsi="Arial"/>
                <w:sz w:val="18"/>
                <w:szCs w:val="18"/>
                <w:color w:val="auto"/>
              </w:rPr>
              <w:t>Amortization</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7980" w:type="dxa"/>
            <w:vAlign w:val="bottom"/>
            <w:tcBorders>
              <w:bottom w:val="single" w:sz="8" w:color="BFBFBF"/>
            </w:tcBorders>
          </w:tcPr>
          <w:p>
            <w:pPr>
              <w:ind w:left="460"/>
              <w:spacing w:after="0"/>
              <w:rPr>
                <w:sz w:val="20"/>
                <w:szCs w:val="20"/>
                <w:color w:val="auto"/>
              </w:rPr>
            </w:pPr>
            <w:r>
              <w:rPr>
                <w:rFonts w:ascii="Arial" w:cs="Arial" w:eastAsia="Arial" w:hAnsi="Arial"/>
                <w:sz w:val="18"/>
                <w:szCs w:val="18"/>
                <w:color w:val="auto"/>
              </w:rPr>
              <w:t>Pension (income) expense</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980" w:type="dxa"/>
            <w:vAlign w:val="bottom"/>
            <w:tcBorders>
              <w:bottom w:val="single" w:sz="8" w:color="BFBFBF"/>
            </w:tcBorders>
          </w:tcPr>
          <w:p>
            <w:pPr>
              <w:ind w:left="460"/>
              <w:spacing w:after="0"/>
              <w:rPr>
                <w:sz w:val="20"/>
                <w:szCs w:val="20"/>
                <w:color w:val="auto"/>
              </w:rPr>
            </w:pPr>
            <w:r>
              <w:rPr>
                <w:rFonts w:ascii="Arial" w:cs="Arial" w:eastAsia="Arial" w:hAnsi="Arial"/>
                <w:sz w:val="18"/>
                <w:szCs w:val="18"/>
                <w:color w:val="auto"/>
              </w:rPr>
              <w:t>Stock compensation expense</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7980" w:type="dxa"/>
            <w:vAlign w:val="bottom"/>
            <w:tcBorders>
              <w:bottom w:val="single" w:sz="8" w:color="BFBFBF"/>
            </w:tcBorders>
          </w:tcPr>
          <w:p>
            <w:pPr>
              <w:ind w:left="46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7980" w:type="dxa"/>
            <w:vAlign w:val="bottom"/>
            <w:tcBorders>
              <w:bottom w:val="single" w:sz="8" w:color="BFBFBF"/>
            </w:tcBorders>
          </w:tcPr>
          <w:p>
            <w:pPr>
              <w:ind w:left="4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798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spacing w:after="0"/>
              <w:rPr>
                <w:sz w:val="19"/>
                <w:szCs w:val="19"/>
                <w:color w:val="auto"/>
              </w:rPr>
            </w:pP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spacing w:after="0"/>
              <w:rPr>
                <w:sz w:val="19"/>
                <w:szCs w:val="19"/>
                <w:color w:val="auto"/>
              </w:rPr>
            </w:pPr>
          </w:p>
        </w:tc>
      </w:tr>
      <w:tr>
        <w:trPr>
          <w:trHeight w:val="223"/>
        </w:trPr>
        <w:tc>
          <w:tcPr>
            <w:tcW w:w="7980" w:type="dxa"/>
            <w:vAlign w:val="bottom"/>
            <w:tcBorders>
              <w:bottom w:val="single" w:sz="8" w:color="BFBFBF"/>
            </w:tcBorders>
          </w:tcPr>
          <w:p>
            <w:pPr>
              <w:ind w:left="460"/>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(390)</w:t>
            </w:r>
          </w:p>
        </w:tc>
      </w:tr>
      <w:tr>
        <w:trPr>
          <w:trHeight w:val="223"/>
        </w:trPr>
        <w:tc>
          <w:tcPr>
            <w:tcW w:w="7980" w:type="dxa"/>
            <w:vAlign w:val="bottom"/>
            <w:tcBorders>
              <w:bottom w:val="single" w:sz="8" w:color="BFBFBF"/>
            </w:tcBorders>
          </w:tcPr>
          <w:p>
            <w:pPr>
              <w:ind w:left="46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7980" w:type="dxa"/>
            <w:vAlign w:val="bottom"/>
            <w:tcBorders>
              <w:bottom w:val="single" w:sz="8" w:color="BFBFBF"/>
            </w:tcBorders>
          </w:tcPr>
          <w:p>
            <w:pPr>
              <w:ind w:left="460"/>
              <w:spacing w:after="0"/>
              <w:rPr>
                <w:sz w:val="20"/>
                <w:szCs w:val="20"/>
                <w:color w:val="auto"/>
              </w:rPr>
            </w:pPr>
            <w:r>
              <w:rPr>
                <w:rFonts w:ascii="Arial" w:cs="Arial" w:eastAsia="Arial" w:hAnsi="Arial"/>
                <w:sz w:val="18"/>
                <w:szCs w:val="18"/>
                <w:color w:val="auto"/>
              </w:rPr>
              <w:t>Contract assets</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7980" w:type="dxa"/>
            <w:vAlign w:val="bottom"/>
            <w:tcBorders>
              <w:bottom w:val="single" w:sz="8" w:color="BFBFBF"/>
            </w:tcBorders>
          </w:tcPr>
          <w:p>
            <w:pPr>
              <w:ind w:left="46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7980" w:type="dxa"/>
            <w:vAlign w:val="bottom"/>
            <w:tcBorders>
              <w:bottom w:val="single" w:sz="8" w:color="BFBFBF"/>
            </w:tcBorders>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7980" w:type="dxa"/>
            <w:vAlign w:val="bottom"/>
            <w:tcBorders>
              <w:bottom w:val="single" w:sz="8" w:color="BFBFBF"/>
            </w:tcBorders>
          </w:tcPr>
          <w:p>
            <w:pPr>
              <w:ind w:left="460"/>
              <w:spacing w:after="0"/>
              <w:rPr>
                <w:sz w:val="20"/>
                <w:szCs w:val="20"/>
                <w:color w:val="auto"/>
              </w:rPr>
            </w:pPr>
            <w:r>
              <w:rPr>
                <w:rFonts w:ascii="Arial" w:cs="Arial" w:eastAsia="Arial" w:hAnsi="Arial"/>
                <w:sz w:val="18"/>
                <w:szCs w:val="18"/>
                <w:color w:val="auto"/>
              </w:rPr>
              <w:t>Contract liabilities</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980" w:type="dxa"/>
            <w:vAlign w:val="bottom"/>
            <w:tcBorders>
              <w:bottom w:val="single" w:sz="8" w:color="384348"/>
            </w:tcBorders>
          </w:tcPr>
          <w:p>
            <w:pPr>
              <w:ind w:left="46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384348"/>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798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1,014</w:t>
            </w:r>
          </w:p>
        </w:tc>
        <w:tc>
          <w:tcPr>
            <w:tcW w:w="10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1,864</w:t>
            </w:r>
          </w:p>
        </w:tc>
      </w:tr>
      <w:tr>
        <w:trPr>
          <w:trHeight w:val="223"/>
        </w:trPr>
        <w:tc>
          <w:tcPr>
            <w:tcW w:w="798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spacing w:after="0"/>
              <w:rPr>
                <w:sz w:val="19"/>
                <w:szCs w:val="19"/>
                <w:color w:val="auto"/>
              </w:rPr>
            </w:pP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spacing w:after="0"/>
              <w:rPr>
                <w:sz w:val="19"/>
                <w:szCs w:val="19"/>
                <w:color w:val="auto"/>
              </w:rPr>
            </w:pPr>
          </w:p>
        </w:tc>
      </w:tr>
      <w:tr>
        <w:trPr>
          <w:trHeight w:val="223"/>
        </w:trPr>
        <w:tc>
          <w:tcPr>
            <w:tcW w:w="79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(372)</w:t>
            </w:r>
          </w:p>
        </w:tc>
      </w:tr>
      <w:tr>
        <w:trPr>
          <w:trHeight w:val="223"/>
        </w:trPr>
        <w:tc>
          <w:tcPr>
            <w:tcW w:w="79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Increase in investments, net</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9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Amounts advanced for related party loans receivable</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9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Payments received from related party loans receivable</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98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100" w:type="dxa"/>
            <w:vAlign w:val="bottom"/>
            <w:tcBorders>
              <w:bottom w:val="single" w:sz="8" w:color="384348"/>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23"/>
        </w:trPr>
        <w:tc>
          <w:tcPr>
            <w:tcW w:w="798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Net cash used for investing activities</w:t>
            </w:r>
          </w:p>
        </w:tc>
        <w:tc>
          <w:tcPr>
            <w:tcW w:w="12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(385)</w:t>
            </w:r>
          </w:p>
        </w:tc>
        <w:tc>
          <w:tcPr>
            <w:tcW w:w="10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(392)</w:t>
            </w:r>
          </w:p>
        </w:tc>
      </w:tr>
      <w:tr>
        <w:trPr>
          <w:trHeight w:val="223"/>
        </w:trPr>
        <w:tc>
          <w:tcPr>
            <w:tcW w:w="798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spacing w:after="0"/>
              <w:rPr>
                <w:sz w:val="19"/>
                <w:szCs w:val="19"/>
                <w:color w:val="auto"/>
              </w:rPr>
            </w:pP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spacing w:after="0"/>
              <w:rPr>
                <w:sz w:val="19"/>
                <w:szCs w:val="19"/>
                <w:color w:val="auto"/>
              </w:rPr>
            </w:pPr>
          </w:p>
        </w:tc>
      </w:tr>
      <w:tr>
        <w:trPr>
          <w:trHeight w:val="223"/>
        </w:trPr>
        <w:tc>
          <w:tcPr>
            <w:tcW w:w="79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15,843</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transfers to Parent</w:t>
            </w: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(15,080)</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(1,224)</w:t>
            </w:r>
          </w:p>
        </w:tc>
      </w:tr>
      <w:tr>
        <w:trPr>
          <w:trHeight w:val="223"/>
        </w:trPr>
        <w:tc>
          <w:tcPr>
            <w:tcW w:w="798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798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12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739</w:t>
            </w:r>
          </w:p>
        </w:tc>
        <w:tc>
          <w:tcPr>
            <w:tcW w:w="10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(1,265)</w:t>
            </w:r>
          </w:p>
        </w:tc>
      </w:tr>
      <w:tr>
        <w:trPr>
          <w:trHeight w:val="223"/>
        </w:trPr>
        <w:tc>
          <w:tcPr>
            <w:tcW w:w="798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2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98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1,345</w:t>
            </w:r>
          </w:p>
        </w:tc>
        <w:tc>
          <w:tcPr>
            <w:tcW w:w="10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226</w:t>
            </w:r>
          </w:p>
        </w:tc>
      </w:tr>
      <w:tr>
        <w:trPr>
          <w:trHeight w:val="223"/>
        </w:trPr>
        <w:tc>
          <w:tcPr>
            <w:tcW w:w="798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2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244</w:t>
            </w:r>
          </w:p>
        </w:tc>
      </w:tr>
      <w:tr>
        <w:trPr>
          <w:trHeight w:val="223"/>
        </w:trPr>
        <w:tc>
          <w:tcPr>
            <w:tcW w:w="798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1,558</w:t>
            </w:r>
          </w:p>
        </w:tc>
        <w:tc>
          <w:tcPr>
            <w:tcW w:w="10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470</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 w:name="page10"/>
    <w:bookmarkEnd w:id="9"/>
    <w:p>
      <w:pPr>
        <w:ind w:left="15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AEROSPACE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80" w:type="dxa"/>
            <w:vAlign w:val="bottom"/>
          </w:tcPr>
          <w:p>
            <w:pPr>
              <w:spacing w:after="0"/>
              <w:rPr>
                <w:sz w:val="17"/>
                <w:szCs w:val="17"/>
                <w:color w:val="auto"/>
              </w:rPr>
            </w:pPr>
          </w:p>
        </w:tc>
        <w:tc>
          <w:tcPr>
            <w:tcW w:w="1920" w:type="dxa"/>
            <w:vAlign w:val="bottom"/>
            <w:tcBorders>
              <w:bottom w:val="single" w:sz="8" w:color="FF4400"/>
            </w:tcBorders>
            <w:gridSpan w:val="3"/>
          </w:tcPr>
          <w:p>
            <w:pPr>
              <w:jc w:val="right"/>
              <w:ind w:right="351"/>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9"/>
              </w:rPr>
              <w:t>Net Parent</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920" w:type="dxa"/>
            <w:vAlign w:val="bottom"/>
          </w:tcPr>
          <w:p>
            <w:pPr>
              <w:jc w:val="center"/>
              <w:ind w:right="212"/>
              <w:spacing w:after="0" w:line="145"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7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86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80" w:type="dxa"/>
            <w:vAlign w:val="bottom"/>
            <w:tcBorders>
              <w:bottom w:val="single" w:sz="8" w:color="FF4400"/>
            </w:tcBorders>
          </w:tcPr>
          <w:p>
            <w:pPr>
              <w:spacing w:after="0"/>
              <w:rPr>
                <w:sz w:val="16"/>
                <w:szCs w:val="16"/>
                <w:color w:val="auto"/>
              </w:rPr>
            </w:pPr>
          </w:p>
        </w:tc>
        <w:tc>
          <w:tcPr>
            <w:tcW w:w="920" w:type="dxa"/>
            <w:vAlign w:val="bottom"/>
            <w:tcBorders>
              <w:bottom w:val="single" w:sz="8" w:color="FF4400"/>
            </w:tcBorders>
            <w:vMerge w:val="continue"/>
          </w:tcPr>
          <w:p>
            <w:pPr>
              <w:spacing w:after="0"/>
              <w:rPr>
                <w:sz w:val="16"/>
                <w:szCs w:val="16"/>
                <w:color w:val="auto"/>
              </w:rPr>
            </w:pPr>
          </w:p>
        </w:tc>
        <w:tc>
          <w:tcPr>
            <w:tcW w:w="220" w:type="dxa"/>
            <w:vAlign w:val="bottom"/>
            <w:tcBorders>
              <w:bottom w:val="single" w:sz="8" w:color="FF4400"/>
            </w:tcBorders>
          </w:tcPr>
          <w:p>
            <w:pPr>
              <w:spacing w:after="0"/>
              <w:rPr>
                <w:sz w:val="16"/>
                <w:szCs w:val="16"/>
                <w:color w:val="auto"/>
              </w:rPr>
            </w:pPr>
          </w:p>
        </w:tc>
        <w:tc>
          <w:tcPr>
            <w:tcW w:w="780" w:type="dxa"/>
            <w:vAlign w:val="bottom"/>
            <w:tcBorders>
              <w:bottom w:val="single" w:sz="8" w:color="FF4400"/>
            </w:tcBorders>
            <w:vMerge w:val="continue"/>
          </w:tcPr>
          <w:p>
            <w:pPr>
              <w:spacing w:after="0"/>
              <w:rPr>
                <w:sz w:val="16"/>
                <w:szCs w:val="16"/>
                <w:color w:val="auto"/>
              </w:rPr>
            </w:pPr>
          </w:p>
        </w:tc>
        <w:tc>
          <w:tcPr>
            <w:tcW w:w="200" w:type="dxa"/>
            <w:vAlign w:val="bottom"/>
            <w:tcBorders>
              <w:bottom w:val="single" w:sz="8" w:color="FF4400"/>
            </w:tcBorders>
          </w:tcPr>
          <w:p>
            <w:pPr>
              <w:spacing w:after="0"/>
              <w:rPr>
                <w:sz w:val="16"/>
                <w:szCs w:val="16"/>
                <w:color w:val="auto"/>
              </w:rPr>
            </w:pPr>
          </w:p>
        </w:tc>
        <w:tc>
          <w:tcPr>
            <w:tcW w:w="860" w:type="dxa"/>
            <w:vAlign w:val="bottom"/>
            <w:tcBorders>
              <w:bottom w:val="single" w:sz="8" w:color="FF4400"/>
            </w:tcBorders>
          </w:tcPr>
          <w:p>
            <w:pPr>
              <w:jc w:val="right"/>
              <w:ind w:right="173"/>
              <w:spacing w:after="0"/>
              <w:rPr>
                <w:sz w:val="20"/>
                <w:szCs w:val="20"/>
                <w:color w:val="auto"/>
              </w:rPr>
            </w:pPr>
            <w:r>
              <w:rPr>
                <w:rFonts w:ascii="Arial" w:cs="Arial" w:eastAsia="Arial" w:hAnsi="Arial"/>
                <w:sz w:val="14"/>
                <w:szCs w:val="14"/>
                <w:b w:val="1"/>
                <w:bCs w:val="1"/>
                <w:color w:val="auto"/>
              </w:rPr>
              <w:t>Capital</w:t>
            </w:r>
          </w:p>
        </w:tc>
        <w:tc>
          <w:tcPr>
            <w:tcW w:w="1100" w:type="dxa"/>
            <w:vAlign w:val="bottom"/>
            <w:tcBorders>
              <w:bottom w:val="single" w:sz="8" w:color="FF4400"/>
            </w:tcBorders>
            <w:gridSpan w:val="2"/>
          </w:tcPr>
          <w:p>
            <w:pPr>
              <w:jc w:val="right"/>
              <w:ind w:right="71"/>
              <w:spacing w:after="0"/>
              <w:rPr>
                <w:sz w:val="20"/>
                <w:szCs w:val="20"/>
                <w:color w:val="auto"/>
              </w:rPr>
            </w:pPr>
            <w:r>
              <w:rPr>
                <w:rFonts w:ascii="Arial" w:cs="Arial" w:eastAsia="Arial" w:hAnsi="Arial"/>
                <w:sz w:val="14"/>
                <w:szCs w:val="14"/>
                <w:b w:val="1"/>
                <w:bCs w:val="1"/>
                <w:color w:val="auto"/>
              </w:rPr>
              <w:t>Investment</w:t>
            </w:r>
          </w:p>
        </w:tc>
        <w:tc>
          <w:tcPr>
            <w:tcW w:w="240" w:type="dxa"/>
            <w:vAlign w:val="bottom"/>
            <w:tcBorders>
              <w:bottom w:val="single" w:sz="8" w:color="FF4400"/>
            </w:tcBorders>
          </w:tcPr>
          <w:p>
            <w:pPr>
              <w:spacing w:after="0"/>
              <w:rPr>
                <w:sz w:val="16"/>
                <w:szCs w:val="16"/>
                <w:color w:val="auto"/>
              </w:rPr>
            </w:pPr>
          </w:p>
        </w:tc>
        <w:tc>
          <w:tcPr>
            <w:tcW w:w="840" w:type="dxa"/>
            <w:vAlign w:val="bottom"/>
            <w:tcBorders>
              <w:bottom w:val="single" w:sz="8" w:color="FF4400"/>
            </w:tcBorders>
          </w:tcPr>
          <w:p>
            <w:pPr>
              <w:jc w:val="right"/>
              <w:ind w:right="231"/>
              <w:spacing w:after="0"/>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FF4400"/>
            </w:tcBorders>
          </w:tcPr>
          <w:p>
            <w:pPr>
              <w:spacing w:after="0"/>
              <w:rPr>
                <w:sz w:val="16"/>
                <w:szCs w:val="16"/>
                <w:color w:val="auto"/>
              </w:rPr>
            </w:pPr>
          </w:p>
        </w:tc>
        <w:tc>
          <w:tcPr>
            <w:tcW w:w="920" w:type="dxa"/>
            <w:vAlign w:val="bottom"/>
            <w:tcBorders>
              <w:bottom w:val="single" w:sz="8" w:color="FF4400"/>
            </w:tcBorders>
          </w:tcPr>
          <w:p>
            <w:pPr>
              <w:jc w:val="center"/>
              <w:ind w:right="212"/>
              <w:spacing w:after="0"/>
              <w:rPr>
                <w:sz w:val="20"/>
                <w:szCs w:val="20"/>
                <w:color w:val="auto"/>
              </w:rPr>
            </w:pPr>
            <w:r>
              <w:rPr>
                <w:rFonts w:ascii="Arial" w:cs="Arial" w:eastAsia="Arial" w:hAnsi="Arial"/>
                <w:sz w:val="14"/>
                <w:szCs w:val="14"/>
                <w:b w:val="1"/>
                <w:bCs w:val="1"/>
                <w:color w:val="auto"/>
              </w:rPr>
              <w:t>Loss</w:t>
            </w:r>
          </w:p>
        </w:tc>
        <w:tc>
          <w:tcPr>
            <w:tcW w:w="220" w:type="dxa"/>
            <w:vAlign w:val="bottom"/>
            <w:tcBorders>
              <w:bottom w:val="single" w:sz="8" w:color="FF4400"/>
            </w:tcBorders>
          </w:tcPr>
          <w:p>
            <w:pPr>
              <w:spacing w:after="0"/>
              <w:rPr>
                <w:sz w:val="16"/>
                <w:szCs w:val="16"/>
                <w:color w:val="auto"/>
              </w:rPr>
            </w:pPr>
          </w:p>
        </w:tc>
        <w:tc>
          <w:tcPr>
            <w:tcW w:w="920" w:type="dxa"/>
            <w:vAlign w:val="bottom"/>
            <w:tcBorders>
              <w:bottom w:val="single" w:sz="8" w:color="FF4400"/>
            </w:tcBorders>
          </w:tcPr>
          <w:p>
            <w:pPr>
              <w:jc w:val="right"/>
              <w:ind w:right="171"/>
              <w:spacing w:after="0"/>
              <w:rPr>
                <w:sz w:val="20"/>
                <w:szCs w:val="20"/>
                <w:color w:val="auto"/>
              </w:rPr>
            </w:pPr>
            <w:r>
              <w:rPr>
                <w:rFonts w:ascii="Arial" w:cs="Arial" w:eastAsia="Arial" w:hAnsi="Arial"/>
                <w:sz w:val="14"/>
                <w:szCs w:val="14"/>
                <w:b w:val="1"/>
                <w:bCs w:val="1"/>
                <w:color w:val="auto"/>
              </w:rPr>
              <w:t>Interests</w:t>
            </w:r>
          </w:p>
        </w:tc>
        <w:tc>
          <w:tcPr>
            <w:tcW w:w="220" w:type="dxa"/>
            <w:vAlign w:val="bottom"/>
            <w:tcBorders>
              <w:bottom w:val="single" w:sz="8" w:color="FF4400"/>
            </w:tcBorders>
          </w:tcPr>
          <w:p>
            <w:pPr>
              <w:spacing w:after="0"/>
              <w:rPr>
                <w:sz w:val="16"/>
                <w:szCs w:val="16"/>
                <w:color w:val="auto"/>
              </w:rPr>
            </w:pPr>
          </w:p>
        </w:tc>
        <w:tc>
          <w:tcPr>
            <w:tcW w:w="800" w:type="dxa"/>
            <w:vAlign w:val="bottom"/>
            <w:tcBorders>
              <w:bottom w:val="single" w:sz="8" w:color="FF4400"/>
            </w:tcBorders>
          </w:tcPr>
          <w:p>
            <w:pPr>
              <w:jc w:val="right"/>
              <w:ind w:right="13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Balance as of June 28, 2025</w:t>
            </w:r>
          </w:p>
        </w:tc>
        <w:tc>
          <w:tcPr>
            <w:tcW w:w="920" w:type="dxa"/>
            <w:vAlign w:val="bottom"/>
            <w:tcBorders>
              <w:bottom w:val="single" w:sz="8" w:color="384348"/>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10,113</w:t>
            </w:r>
          </w:p>
        </w:tc>
        <w:tc>
          <w:tcPr>
            <w:tcW w:w="2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384348"/>
            </w:tcBorders>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(228)</w:t>
            </w:r>
          </w:p>
        </w:tc>
        <w:tc>
          <w:tcPr>
            <w:tcW w:w="220" w:type="dxa"/>
            <w:vAlign w:val="bottom"/>
            <w:tcBorders>
              <w:bottom w:val="single" w:sz="8" w:color="384348"/>
            </w:tcBorders>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b w:val="1"/>
                <w:bCs w:val="1"/>
                <w:color w:val="auto"/>
              </w:rPr>
              <w:t>93</w:t>
            </w:r>
          </w:p>
        </w:tc>
        <w:tc>
          <w:tcPr>
            <w:tcW w:w="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9,978</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9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644</w:t>
            </w:r>
          </w:p>
        </w:tc>
        <w:tc>
          <w:tcPr>
            <w:tcW w:w="240" w:type="dxa"/>
            <w:vAlign w:val="bottom"/>
            <w:tcBorders>
              <w:bottom w:val="single" w:sz="8" w:color="BFBFBF"/>
            </w:tcBorders>
          </w:tcPr>
          <w:p>
            <w:pPr>
              <w:spacing w:after="0"/>
              <w:rPr>
                <w:sz w:val="19"/>
                <w:szCs w:val="19"/>
                <w:color w:val="auto"/>
              </w:rPr>
            </w:pPr>
          </w:p>
        </w:tc>
        <w:tc>
          <w:tcPr>
            <w:tcW w:w="84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BFBFBF"/>
            </w:tcBorders>
          </w:tcPr>
          <w:p>
            <w:pPr>
              <w:spacing w:after="0"/>
              <w:rPr>
                <w:sz w:val="19"/>
                <w:szCs w:val="19"/>
                <w:color w:val="auto"/>
              </w:rPr>
            </w:pPr>
          </w:p>
        </w:tc>
        <w:tc>
          <w:tcPr>
            <w:tcW w:w="8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Other comprehensive income</w:t>
            </w:r>
          </w:p>
        </w:tc>
        <w:tc>
          <w:tcPr>
            <w:tcW w:w="9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9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BFBFBF"/>
            </w:tcBorders>
          </w:tcPr>
          <w:p>
            <w:pPr>
              <w:spacing w:after="0"/>
              <w:rPr>
                <w:sz w:val="19"/>
                <w:szCs w:val="19"/>
                <w:color w:val="auto"/>
              </w:rPr>
            </w:pPr>
          </w:p>
        </w:tc>
        <w:tc>
          <w:tcPr>
            <w:tcW w:w="84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8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line="169" w:lineRule="exact"/>
              <w:rPr>
                <w:sz w:val="20"/>
                <w:szCs w:val="20"/>
                <w:color w:val="auto"/>
              </w:rPr>
            </w:pPr>
            <w:r>
              <w:rPr>
                <w:rFonts w:ascii="Arial" w:cs="Arial" w:eastAsia="Arial" w:hAnsi="Arial"/>
                <w:sz w:val="18"/>
                <w:szCs w:val="18"/>
                <w:color w:val="auto"/>
              </w:rPr>
              <w:t>Dividends to noncontrolling</w:t>
            </w: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4"/>
                <w:szCs w:val="14"/>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58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auto"/>
              </w:rPr>
              <w:t>interests</w:t>
            </w:r>
          </w:p>
        </w:tc>
        <w:tc>
          <w:tcPr>
            <w:tcW w:w="920" w:type="dxa"/>
            <w:vAlign w:val="bottom"/>
            <w:tcBorders>
              <w:bottom w:val="single" w:sz="8" w:color="BFBFBF"/>
            </w:tcBorders>
            <w:vMerge w:val="continue"/>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780" w:type="dxa"/>
            <w:vAlign w:val="bottom"/>
            <w:tcBorders>
              <w:bottom w:val="single" w:sz="8" w:color="BFBFBF"/>
            </w:tcBorders>
            <w:vMerge w:val="continue"/>
          </w:tcPr>
          <w:p>
            <w:pPr>
              <w:spacing w:after="0"/>
              <w:rPr>
                <w:sz w:val="21"/>
                <w:szCs w:val="21"/>
                <w:color w:val="auto"/>
              </w:rPr>
            </w:pPr>
          </w:p>
        </w:tc>
        <w:tc>
          <w:tcPr>
            <w:tcW w:w="200" w:type="dxa"/>
            <w:vAlign w:val="bottom"/>
            <w:tcBorders>
              <w:bottom w:val="single" w:sz="8" w:color="BFBFBF"/>
            </w:tcBorders>
          </w:tcPr>
          <w:p>
            <w:pPr>
              <w:spacing w:after="0"/>
              <w:rPr>
                <w:sz w:val="21"/>
                <w:szCs w:val="21"/>
                <w:color w:val="auto"/>
              </w:rPr>
            </w:pPr>
          </w:p>
        </w:tc>
        <w:tc>
          <w:tcPr>
            <w:tcW w:w="860" w:type="dxa"/>
            <w:vAlign w:val="bottom"/>
            <w:tcBorders>
              <w:bottom w:val="single" w:sz="8" w:color="BFBFBF"/>
            </w:tcBorders>
            <w:vMerge w:val="continue"/>
          </w:tcPr>
          <w:p>
            <w:pPr>
              <w:spacing w:after="0"/>
              <w:rPr>
                <w:sz w:val="21"/>
                <w:szCs w:val="21"/>
                <w:color w:val="auto"/>
              </w:rPr>
            </w:pPr>
          </w:p>
        </w:tc>
        <w:tc>
          <w:tcPr>
            <w:tcW w:w="200" w:type="dxa"/>
            <w:vAlign w:val="bottom"/>
            <w:tcBorders>
              <w:bottom w:val="single" w:sz="8" w:color="BFBFBF"/>
            </w:tcBorders>
          </w:tcPr>
          <w:p>
            <w:pPr>
              <w:spacing w:after="0"/>
              <w:rPr>
                <w:sz w:val="21"/>
                <w:szCs w:val="21"/>
                <w:color w:val="auto"/>
              </w:rPr>
            </w:pPr>
          </w:p>
        </w:tc>
        <w:tc>
          <w:tcPr>
            <w:tcW w:w="900" w:type="dxa"/>
            <w:vAlign w:val="bottom"/>
            <w:tcBorders>
              <w:bottom w:val="single" w:sz="8" w:color="BFBFBF"/>
            </w:tcBorders>
            <w:vMerge w:val="continue"/>
          </w:tcPr>
          <w:p>
            <w:pPr>
              <w:spacing w:after="0"/>
              <w:rPr>
                <w:sz w:val="21"/>
                <w:szCs w:val="21"/>
                <w:color w:val="auto"/>
              </w:rPr>
            </w:pPr>
          </w:p>
        </w:tc>
        <w:tc>
          <w:tcPr>
            <w:tcW w:w="240" w:type="dxa"/>
            <w:vAlign w:val="bottom"/>
            <w:tcBorders>
              <w:bottom w:val="single" w:sz="8" w:color="BFBFBF"/>
            </w:tcBorders>
          </w:tcPr>
          <w:p>
            <w:pPr>
              <w:spacing w:after="0"/>
              <w:rPr>
                <w:sz w:val="21"/>
                <w:szCs w:val="21"/>
                <w:color w:val="auto"/>
              </w:rPr>
            </w:pPr>
          </w:p>
        </w:tc>
        <w:tc>
          <w:tcPr>
            <w:tcW w:w="840" w:type="dxa"/>
            <w:vAlign w:val="bottom"/>
            <w:tcBorders>
              <w:bottom w:val="single" w:sz="8" w:color="BFBFBF"/>
            </w:tcBorders>
            <w:vMerge w:val="continue"/>
          </w:tcPr>
          <w:p>
            <w:pPr>
              <w:spacing w:after="0"/>
              <w:rPr>
                <w:sz w:val="21"/>
                <w:szCs w:val="21"/>
                <w:color w:val="auto"/>
              </w:rPr>
            </w:pPr>
          </w:p>
        </w:tc>
        <w:tc>
          <w:tcPr>
            <w:tcW w:w="300" w:type="dxa"/>
            <w:vAlign w:val="bottom"/>
            <w:tcBorders>
              <w:bottom w:val="single" w:sz="8" w:color="BFBFBF"/>
            </w:tcBorders>
          </w:tcPr>
          <w:p>
            <w:pPr>
              <w:spacing w:after="0"/>
              <w:rPr>
                <w:sz w:val="21"/>
                <w:szCs w:val="21"/>
                <w:color w:val="auto"/>
              </w:rPr>
            </w:pPr>
          </w:p>
        </w:tc>
        <w:tc>
          <w:tcPr>
            <w:tcW w:w="920" w:type="dxa"/>
            <w:vAlign w:val="bottom"/>
            <w:tcBorders>
              <w:bottom w:val="single" w:sz="8" w:color="BFBFBF"/>
            </w:tcBorders>
            <w:vMerge w:val="continue"/>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920" w:type="dxa"/>
            <w:vAlign w:val="bottom"/>
            <w:tcBorders>
              <w:bottom w:val="single" w:sz="8" w:color="BFBFBF"/>
            </w:tcBorders>
            <w:vMerge w:val="continue"/>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800" w:type="dxa"/>
            <w:vAlign w:val="bottom"/>
            <w:tcBorders>
              <w:bottom w:val="single" w:sz="8" w:color="BFBFB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8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Net transfers to Parent</w:t>
            </w:r>
          </w:p>
        </w:tc>
        <w:tc>
          <w:tcPr>
            <w:tcW w:w="920" w:type="dxa"/>
            <w:vAlign w:val="bottom"/>
            <w:tcBorders>
              <w:bottom w:val="single" w:sz="8" w:color="384348"/>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384348"/>
            </w:tcBorders>
          </w:tcPr>
          <w:p>
            <w:pPr>
              <w:spacing w:after="0"/>
              <w:rPr>
                <w:sz w:val="19"/>
                <w:szCs w:val="19"/>
                <w:color w:val="auto"/>
              </w:rPr>
            </w:pP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384348"/>
            </w:tcBorders>
          </w:tcPr>
          <w:p>
            <w:pPr>
              <w:spacing w:after="0"/>
              <w:rPr>
                <w:sz w:val="19"/>
                <w:szCs w:val="19"/>
                <w:color w:val="auto"/>
              </w:rPr>
            </w:pPr>
          </w:p>
        </w:tc>
        <w:tc>
          <w:tcPr>
            <w:tcW w:w="8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384348"/>
            </w:tcBorders>
          </w:tcPr>
          <w:p>
            <w:pPr>
              <w:spacing w:after="0"/>
              <w:rPr>
                <w:sz w:val="19"/>
                <w:szCs w:val="19"/>
                <w:color w:val="auto"/>
              </w:rPr>
            </w:pPr>
          </w:p>
        </w:tc>
        <w:tc>
          <w:tcPr>
            <w:tcW w:w="9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Borders>
              <w:bottom w:val="single" w:sz="8" w:color="384348"/>
            </w:tcBorders>
          </w:tcPr>
          <w:p>
            <w:pPr>
              <w:spacing w:after="0"/>
              <w:rPr>
                <w:sz w:val="19"/>
                <w:szCs w:val="19"/>
                <w:color w:val="auto"/>
              </w:rPr>
            </w:pPr>
          </w:p>
        </w:tc>
        <w:tc>
          <w:tcPr>
            <w:tcW w:w="84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384348"/>
            </w:tcBorders>
          </w:tcPr>
          <w:p>
            <w:pPr>
              <w:spacing w:after="0"/>
              <w:rPr>
                <w:sz w:val="19"/>
                <w:szCs w:val="19"/>
                <w:color w:val="auto"/>
              </w:rPr>
            </w:pPr>
          </w:p>
        </w:tc>
        <w:tc>
          <w:tcPr>
            <w:tcW w:w="9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384348"/>
            </w:tcBorders>
          </w:tcPr>
          <w:p>
            <w:pPr>
              <w:spacing w:after="0"/>
              <w:rPr>
                <w:sz w:val="19"/>
                <w:szCs w:val="19"/>
                <w:color w:val="auto"/>
              </w:rPr>
            </w:pPr>
          </w:p>
        </w:tc>
        <w:tc>
          <w:tcPr>
            <w:tcW w:w="92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384348"/>
            </w:tcBorders>
          </w:tcPr>
          <w:p>
            <w:pPr>
              <w:spacing w:after="0"/>
              <w:rPr>
                <w:sz w:val="19"/>
                <w:szCs w:val="19"/>
                <w:color w:val="auto"/>
              </w:rPr>
            </w:pPr>
          </w:p>
        </w:tc>
        <w:tc>
          <w:tcPr>
            <w:tcW w:w="8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Balance as of September 27,</w:t>
            </w: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10,147</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w:t>
            </w:r>
          </w:p>
        </w:tc>
        <w:tc>
          <w:tcPr>
            <w:tcW w:w="3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(227)</w:t>
            </w:r>
          </w:p>
        </w:tc>
        <w:tc>
          <w:tcPr>
            <w:tcW w:w="2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97</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10,017</w:t>
            </w:r>
          </w:p>
        </w:tc>
        <w:tc>
          <w:tcPr>
            <w:tcW w:w="0" w:type="dxa"/>
            <w:vAlign w:val="bottom"/>
          </w:tcPr>
          <w:p>
            <w:pPr>
              <w:spacing w:after="0"/>
              <w:rPr>
                <w:sz w:val="1"/>
                <w:szCs w:val="1"/>
                <w:color w:val="auto"/>
              </w:rPr>
            </w:pPr>
          </w:p>
        </w:tc>
      </w:tr>
      <w:tr>
        <w:trPr>
          <w:trHeight w:val="243"/>
        </w:trPr>
        <w:tc>
          <w:tcPr>
            <w:tcW w:w="2580" w:type="dxa"/>
            <w:vAlign w:val="bottom"/>
            <w:tcBorders>
              <w:bottom w:val="single" w:sz="8" w:color="384348"/>
            </w:tcBorders>
          </w:tcPr>
          <w:p>
            <w:pPr>
              <w:ind w:left="180"/>
              <w:spacing w:after="0"/>
              <w:rPr>
                <w:sz w:val="20"/>
                <w:szCs w:val="20"/>
                <w:color w:val="auto"/>
              </w:rPr>
            </w:pPr>
            <w:r>
              <w:rPr>
                <w:rFonts w:ascii="Arial" w:cs="Arial" w:eastAsia="Arial" w:hAnsi="Arial"/>
                <w:sz w:val="18"/>
                <w:szCs w:val="18"/>
                <w:b w:val="1"/>
                <w:bCs w:val="1"/>
                <w:color w:val="auto"/>
              </w:rPr>
              <w:t>2025</w:t>
            </w:r>
          </w:p>
        </w:tc>
        <w:tc>
          <w:tcPr>
            <w:tcW w:w="92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7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86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900" w:type="dxa"/>
            <w:vAlign w:val="bottom"/>
            <w:tcBorders>
              <w:bottom w:val="single" w:sz="8" w:color="384348"/>
            </w:tcBorders>
            <w:vMerge w:val="continue"/>
          </w:tcPr>
          <w:p>
            <w:pPr>
              <w:spacing w:after="0"/>
              <w:rPr>
                <w:sz w:val="21"/>
                <w:szCs w:val="21"/>
                <w:color w:val="auto"/>
              </w:rPr>
            </w:pPr>
          </w:p>
        </w:tc>
        <w:tc>
          <w:tcPr>
            <w:tcW w:w="240" w:type="dxa"/>
            <w:vAlign w:val="bottom"/>
            <w:tcBorders>
              <w:bottom w:val="single" w:sz="8" w:color="384348"/>
            </w:tcBorders>
            <w:vMerge w:val="continue"/>
          </w:tcPr>
          <w:p>
            <w:pPr>
              <w:spacing w:after="0"/>
              <w:rPr>
                <w:sz w:val="21"/>
                <w:szCs w:val="21"/>
                <w:color w:val="auto"/>
              </w:rPr>
            </w:pPr>
          </w:p>
        </w:tc>
        <w:tc>
          <w:tcPr>
            <w:tcW w:w="840" w:type="dxa"/>
            <w:vAlign w:val="bottom"/>
            <w:tcBorders>
              <w:bottom w:val="single" w:sz="8" w:color="384348"/>
            </w:tcBorders>
            <w:vMerge w:val="continue"/>
          </w:tcPr>
          <w:p>
            <w:pPr>
              <w:spacing w:after="0"/>
              <w:rPr>
                <w:sz w:val="21"/>
                <w:szCs w:val="21"/>
                <w:color w:val="auto"/>
              </w:rPr>
            </w:pPr>
          </w:p>
        </w:tc>
        <w:tc>
          <w:tcPr>
            <w:tcW w:w="300" w:type="dxa"/>
            <w:vAlign w:val="bottom"/>
            <w:tcBorders>
              <w:bottom w:val="single" w:sz="8" w:color="384348"/>
            </w:tcBorders>
            <w:vMerge w:val="continue"/>
          </w:tcPr>
          <w:p>
            <w:pPr>
              <w:spacing w:after="0"/>
              <w:rPr>
                <w:sz w:val="21"/>
                <w:szCs w:val="21"/>
                <w:color w:val="auto"/>
              </w:rPr>
            </w:pPr>
          </w:p>
        </w:tc>
        <w:tc>
          <w:tcPr>
            <w:tcW w:w="92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92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800" w:type="dxa"/>
            <w:vAlign w:val="bottom"/>
            <w:tcBorders>
              <w:bottom w:val="single" w:sz="8" w:color="384348"/>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384348"/>
            </w:tcBorders>
          </w:tcPr>
          <w:p>
            <w:pPr>
              <w:spacing w:after="0"/>
              <w:rPr>
                <w:sz w:val="20"/>
                <w:szCs w:val="20"/>
                <w:color w:val="auto"/>
              </w:rPr>
            </w:pPr>
          </w:p>
        </w:tc>
        <w:tc>
          <w:tcPr>
            <w:tcW w:w="920" w:type="dxa"/>
            <w:vAlign w:val="bottom"/>
            <w:tcBorders>
              <w:bottom w:val="single" w:sz="8" w:color="384348"/>
            </w:tcBorders>
          </w:tcPr>
          <w:p>
            <w:pPr>
              <w:spacing w:after="0"/>
              <w:rPr>
                <w:sz w:val="20"/>
                <w:szCs w:val="20"/>
                <w:color w:val="auto"/>
              </w:rPr>
            </w:pPr>
          </w:p>
        </w:tc>
        <w:tc>
          <w:tcPr>
            <w:tcW w:w="220" w:type="dxa"/>
            <w:vAlign w:val="bottom"/>
            <w:tcBorders>
              <w:bottom w:val="single" w:sz="8" w:color="384348"/>
            </w:tcBorders>
          </w:tcPr>
          <w:p>
            <w:pPr>
              <w:spacing w:after="0"/>
              <w:rPr>
                <w:sz w:val="20"/>
                <w:szCs w:val="20"/>
                <w:color w:val="auto"/>
              </w:rPr>
            </w:pPr>
          </w:p>
        </w:tc>
        <w:tc>
          <w:tcPr>
            <w:tcW w:w="780" w:type="dxa"/>
            <w:vAlign w:val="bottom"/>
            <w:tcBorders>
              <w:bottom w:val="single" w:sz="8" w:color="384348"/>
            </w:tcBorders>
          </w:tcPr>
          <w:p>
            <w:pPr>
              <w:spacing w:after="0"/>
              <w:rPr>
                <w:sz w:val="20"/>
                <w:szCs w:val="20"/>
                <w:color w:val="auto"/>
              </w:rPr>
            </w:pPr>
          </w:p>
        </w:tc>
        <w:tc>
          <w:tcPr>
            <w:tcW w:w="200" w:type="dxa"/>
            <w:vAlign w:val="bottom"/>
            <w:tcBorders>
              <w:bottom w:val="single" w:sz="8" w:color="384348"/>
            </w:tcBorders>
          </w:tcPr>
          <w:p>
            <w:pPr>
              <w:spacing w:after="0"/>
              <w:rPr>
                <w:sz w:val="20"/>
                <w:szCs w:val="20"/>
                <w:color w:val="auto"/>
              </w:rPr>
            </w:pPr>
          </w:p>
        </w:tc>
        <w:tc>
          <w:tcPr>
            <w:tcW w:w="860" w:type="dxa"/>
            <w:vAlign w:val="bottom"/>
            <w:tcBorders>
              <w:bottom w:val="single" w:sz="8" w:color="384348"/>
            </w:tcBorders>
          </w:tcPr>
          <w:p>
            <w:pPr>
              <w:spacing w:after="0"/>
              <w:rPr>
                <w:sz w:val="20"/>
                <w:szCs w:val="20"/>
                <w:color w:val="auto"/>
              </w:rPr>
            </w:pPr>
          </w:p>
        </w:tc>
        <w:tc>
          <w:tcPr>
            <w:tcW w:w="200" w:type="dxa"/>
            <w:vAlign w:val="bottom"/>
            <w:tcBorders>
              <w:bottom w:val="single" w:sz="8" w:color="384348"/>
            </w:tcBorders>
          </w:tcPr>
          <w:p>
            <w:pPr>
              <w:spacing w:after="0"/>
              <w:rPr>
                <w:sz w:val="20"/>
                <w:szCs w:val="20"/>
                <w:color w:val="auto"/>
              </w:rPr>
            </w:pPr>
          </w:p>
        </w:tc>
        <w:tc>
          <w:tcPr>
            <w:tcW w:w="900" w:type="dxa"/>
            <w:vAlign w:val="bottom"/>
            <w:tcBorders>
              <w:bottom w:val="single" w:sz="8" w:color="384348"/>
            </w:tcBorders>
          </w:tcPr>
          <w:p>
            <w:pPr>
              <w:spacing w:after="0"/>
              <w:rPr>
                <w:sz w:val="20"/>
                <w:szCs w:val="20"/>
                <w:color w:val="auto"/>
              </w:rPr>
            </w:pPr>
          </w:p>
        </w:tc>
        <w:tc>
          <w:tcPr>
            <w:tcW w:w="240" w:type="dxa"/>
            <w:vAlign w:val="bottom"/>
            <w:tcBorders>
              <w:bottom w:val="single" w:sz="8" w:color="384348"/>
            </w:tcBorders>
          </w:tcPr>
          <w:p>
            <w:pPr>
              <w:spacing w:after="0"/>
              <w:rPr>
                <w:sz w:val="20"/>
                <w:szCs w:val="20"/>
                <w:color w:val="auto"/>
              </w:rPr>
            </w:pPr>
          </w:p>
        </w:tc>
        <w:tc>
          <w:tcPr>
            <w:tcW w:w="840" w:type="dxa"/>
            <w:vAlign w:val="bottom"/>
            <w:tcBorders>
              <w:bottom w:val="single" w:sz="8" w:color="384348"/>
            </w:tcBorders>
          </w:tcPr>
          <w:p>
            <w:pPr>
              <w:spacing w:after="0"/>
              <w:rPr>
                <w:sz w:val="20"/>
                <w:szCs w:val="20"/>
                <w:color w:val="auto"/>
              </w:rPr>
            </w:pPr>
          </w:p>
        </w:tc>
        <w:tc>
          <w:tcPr>
            <w:tcW w:w="300" w:type="dxa"/>
            <w:vAlign w:val="bottom"/>
            <w:tcBorders>
              <w:bottom w:val="single" w:sz="8" w:color="384348"/>
            </w:tcBorders>
          </w:tcPr>
          <w:p>
            <w:pPr>
              <w:spacing w:after="0"/>
              <w:rPr>
                <w:sz w:val="20"/>
                <w:szCs w:val="20"/>
                <w:color w:val="auto"/>
              </w:rPr>
            </w:pPr>
          </w:p>
        </w:tc>
        <w:tc>
          <w:tcPr>
            <w:tcW w:w="920" w:type="dxa"/>
            <w:vAlign w:val="bottom"/>
            <w:tcBorders>
              <w:bottom w:val="single" w:sz="8" w:color="384348"/>
            </w:tcBorders>
          </w:tcPr>
          <w:p>
            <w:pPr>
              <w:spacing w:after="0"/>
              <w:rPr>
                <w:sz w:val="20"/>
                <w:szCs w:val="20"/>
                <w:color w:val="auto"/>
              </w:rPr>
            </w:pPr>
          </w:p>
        </w:tc>
        <w:tc>
          <w:tcPr>
            <w:tcW w:w="220" w:type="dxa"/>
            <w:vAlign w:val="bottom"/>
            <w:tcBorders>
              <w:bottom w:val="single" w:sz="8" w:color="384348"/>
            </w:tcBorders>
          </w:tcPr>
          <w:p>
            <w:pPr>
              <w:spacing w:after="0"/>
              <w:rPr>
                <w:sz w:val="20"/>
                <w:szCs w:val="20"/>
                <w:color w:val="auto"/>
              </w:rPr>
            </w:pPr>
          </w:p>
        </w:tc>
        <w:tc>
          <w:tcPr>
            <w:tcW w:w="920" w:type="dxa"/>
            <w:vAlign w:val="bottom"/>
            <w:tcBorders>
              <w:bottom w:val="single" w:sz="8" w:color="384348"/>
            </w:tcBorders>
          </w:tcPr>
          <w:p>
            <w:pPr>
              <w:spacing w:after="0"/>
              <w:rPr>
                <w:sz w:val="20"/>
                <w:szCs w:val="20"/>
                <w:color w:val="auto"/>
              </w:rPr>
            </w:pPr>
          </w:p>
        </w:tc>
        <w:tc>
          <w:tcPr>
            <w:tcW w:w="220" w:type="dxa"/>
            <w:vAlign w:val="bottom"/>
            <w:tcBorders>
              <w:bottom w:val="single" w:sz="8" w:color="384348"/>
            </w:tcBorders>
          </w:tcPr>
          <w:p>
            <w:pPr>
              <w:spacing w:after="0"/>
              <w:rPr>
                <w:sz w:val="20"/>
                <w:szCs w:val="20"/>
                <w:color w:val="auto"/>
              </w:rPr>
            </w:pPr>
          </w:p>
        </w:tc>
        <w:tc>
          <w:tcPr>
            <w:tcW w:w="800" w:type="dxa"/>
            <w:vAlign w:val="bottom"/>
            <w:tcBorders>
              <w:bottom w:val="single" w:sz="8" w:color="384348"/>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Balance as of June 27, 2026</w:t>
            </w:r>
          </w:p>
        </w:tc>
        <w:tc>
          <w:tcPr>
            <w:tcW w:w="920" w:type="dxa"/>
            <w:vAlign w:val="bottom"/>
            <w:tcBorders>
              <w:bottom w:val="single" w:sz="8" w:color="384348"/>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(5,487)</w:t>
            </w:r>
          </w:p>
        </w:tc>
        <w:tc>
          <w:tcPr>
            <w:tcW w:w="2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384348"/>
            </w:tcBorders>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tcBorders>
              <w:bottom w:val="single" w:sz="8" w:color="384348"/>
            </w:tcBorders>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b w:val="1"/>
                <w:bCs w:val="1"/>
                <w:color w:val="auto"/>
              </w:rPr>
              <w:t>74</w:t>
            </w:r>
          </w:p>
        </w:tc>
        <w:tc>
          <w:tcPr>
            <w:tcW w:w="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(5,623)</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9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BFBFBF"/>
            </w:tcBorders>
          </w:tcPr>
          <w:p>
            <w:pPr>
              <w:spacing w:after="0"/>
              <w:rPr>
                <w:sz w:val="19"/>
                <w:szCs w:val="19"/>
                <w:color w:val="auto"/>
              </w:rPr>
            </w:pPr>
          </w:p>
        </w:tc>
        <w:tc>
          <w:tcPr>
            <w:tcW w:w="84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726</w:t>
            </w:r>
          </w:p>
        </w:tc>
        <w:tc>
          <w:tcPr>
            <w:tcW w:w="30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BFBFBF"/>
            </w:tcBorders>
          </w:tcPr>
          <w:p>
            <w:pPr>
              <w:spacing w:after="0"/>
              <w:rPr>
                <w:sz w:val="19"/>
                <w:szCs w:val="19"/>
                <w:color w:val="auto"/>
              </w:rPr>
            </w:pPr>
          </w:p>
        </w:tc>
        <w:tc>
          <w:tcPr>
            <w:tcW w:w="8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transfers from (to) Parent</w:t>
            </w:r>
          </w:p>
        </w:tc>
        <w:tc>
          <w:tcPr>
            <w:tcW w:w="9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9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2,960</w:t>
            </w:r>
          </w:p>
        </w:tc>
        <w:tc>
          <w:tcPr>
            <w:tcW w:w="240" w:type="dxa"/>
            <w:vAlign w:val="bottom"/>
            <w:tcBorders>
              <w:bottom w:val="single" w:sz="8" w:color="BFBFBF"/>
            </w:tcBorders>
          </w:tcPr>
          <w:p>
            <w:pPr>
              <w:spacing w:after="0"/>
              <w:rPr>
                <w:sz w:val="19"/>
                <w:szCs w:val="19"/>
                <w:color w:val="auto"/>
              </w:rPr>
            </w:pPr>
          </w:p>
        </w:tc>
        <w:tc>
          <w:tcPr>
            <w:tcW w:w="84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8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line="169" w:lineRule="exact"/>
              <w:rPr>
                <w:sz w:val="20"/>
                <w:szCs w:val="20"/>
                <w:color w:val="auto"/>
              </w:rPr>
            </w:pPr>
            <w:r>
              <w:rPr>
                <w:rFonts w:ascii="Arial" w:cs="Arial" w:eastAsia="Arial" w:hAnsi="Arial"/>
                <w:sz w:val="18"/>
                <w:szCs w:val="18"/>
                <w:color w:val="auto"/>
              </w:rPr>
              <w:t>Issuance of common stock in</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80" w:type="dxa"/>
            <w:vAlign w:val="bottom"/>
          </w:tcPr>
          <w:p>
            <w:pPr>
              <w:ind w:left="180"/>
              <w:spacing w:after="0" w:line="183" w:lineRule="exact"/>
              <w:rPr>
                <w:sz w:val="20"/>
                <w:szCs w:val="20"/>
                <w:color w:val="auto"/>
              </w:rPr>
            </w:pPr>
            <w:r>
              <w:rPr>
                <w:rFonts w:ascii="Arial" w:cs="Arial" w:eastAsia="Arial" w:hAnsi="Arial"/>
                <w:sz w:val="18"/>
                <w:szCs w:val="18"/>
                <w:color w:val="auto"/>
              </w:rPr>
              <w:t>connection with Spin-off and</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80" w:type="dxa"/>
            <w:vAlign w:val="bottom"/>
          </w:tcPr>
          <w:p>
            <w:pPr>
              <w:ind w:left="180"/>
              <w:spacing w:after="0" w:line="181" w:lineRule="exact"/>
              <w:rPr>
                <w:sz w:val="20"/>
                <w:szCs w:val="20"/>
                <w:color w:val="auto"/>
              </w:rPr>
            </w:pPr>
            <w:r>
              <w:rPr>
                <w:rFonts w:ascii="Arial" w:cs="Arial" w:eastAsia="Arial" w:hAnsi="Arial"/>
                <w:sz w:val="18"/>
                <w:szCs w:val="18"/>
                <w:color w:val="auto"/>
              </w:rPr>
              <w:t>reclassification of Net Parent</w:t>
            </w: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color w:val="auto"/>
              </w:rPr>
              <w:t>316.9</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2,527</w:t>
            </w: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(2,530)</w:t>
            </w:r>
          </w:p>
        </w:tc>
        <w:tc>
          <w:tcPr>
            <w:tcW w:w="300" w:type="dxa"/>
            <w:vAlign w:val="bottom"/>
          </w:tcPr>
          <w:p>
            <w:pPr>
              <w:spacing w:after="0"/>
              <w:rPr>
                <w:sz w:val="15"/>
                <w:szCs w:val="15"/>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auto"/>
              </w:rPr>
              <w:t>investment</w:t>
            </w:r>
          </w:p>
        </w:tc>
        <w:tc>
          <w:tcPr>
            <w:tcW w:w="920" w:type="dxa"/>
            <w:vAlign w:val="bottom"/>
            <w:tcBorders>
              <w:bottom w:val="single" w:sz="8" w:color="BFBFBF"/>
            </w:tcBorders>
            <w:vMerge w:val="continue"/>
          </w:tcPr>
          <w:p>
            <w:pPr>
              <w:spacing w:after="0"/>
              <w:rPr>
                <w:sz w:val="19"/>
                <w:szCs w:val="19"/>
                <w:color w:val="auto"/>
              </w:rPr>
            </w:pPr>
          </w:p>
        </w:tc>
        <w:tc>
          <w:tcPr>
            <w:tcW w:w="22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vMerge w:val="continue"/>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vMerge w:val="continue"/>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900" w:type="dxa"/>
            <w:vAlign w:val="bottom"/>
            <w:tcBorders>
              <w:bottom w:val="single" w:sz="8" w:color="BFBFBF"/>
            </w:tcBorders>
            <w:vMerge w:val="continue"/>
          </w:tcPr>
          <w:p>
            <w:pPr>
              <w:spacing w:after="0"/>
              <w:rPr>
                <w:sz w:val="19"/>
                <w:szCs w:val="19"/>
                <w:color w:val="auto"/>
              </w:rPr>
            </w:pPr>
          </w:p>
        </w:tc>
        <w:tc>
          <w:tcPr>
            <w:tcW w:w="240" w:type="dxa"/>
            <w:vAlign w:val="bottom"/>
            <w:tcBorders>
              <w:bottom w:val="single" w:sz="8" w:color="BFBFBF"/>
            </w:tcBorders>
          </w:tcPr>
          <w:p>
            <w:pPr>
              <w:spacing w:after="0"/>
              <w:rPr>
                <w:sz w:val="19"/>
                <w:szCs w:val="19"/>
                <w:color w:val="auto"/>
              </w:rPr>
            </w:pPr>
          </w:p>
        </w:tc>
        <w:tc>
          <w:tcPr>
            <w:tcW w:w="840" w:type="dxa"/>
            <w:vAlign w:val="bottom"/>
            <w:tcBorders>
              <w:bottom w:val="single" w:sz="8" w:color="BFBFBF"/>
            </w:tcBorders>
            <w:vMerge w:val="continue"/>
          </w:tcPr>
          <w:p>
            <w:pPr>
              <w:spacing w:after="0"/>
              <w:rPr>
                <w:sz w:val="19"/>
                <w:szCs w:val="19"/>
                <w:color w:val="auto"/>
              </w:rPr>
            </w:pPr>
          </w:p>
        </w:tc>
        <w:tc>
          <w:tcPr>
            <w:tcW w:w="30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vMerge w:val="continue"/>
          </w:tcPr>
          <w:p>
            <w:pPr>
              <w:spacing w:after="0"/>
              <w:rPr>
                <w:sz w:val="19"/>
                <w:szCs w:val="19"/>
                <w:color w:val="auto"/>
              </w:rPr>
            </w:pPr>
          </w:p>
        </w:tc>
        <w:tc>
          <w:tcPr>
            <w:tcW w:w="22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vMerge w:val="continue"/>
          </w:tcPr>
          <w:p>
            <w:pPr>
              <w:spacing w:after="0"/>
              <w:rPr>
                <w:sz w:val="19"/>
                <w:szCs w:val="19"/>
                <w:color w:val="auto"/>
              </w:rPr>
            </w:pPr>
          </w:p>
        </w:tc>
        <w:tc>
          <w:tcPr>
            <w:tcW w:w="220" w:type="dxa"/>
            <w:vAlign w:val="bottom"/>
            <w:tcBorders>
              <w:bottom w:val="single" w:sz="8" w:color="BFBFBF"/>
            </w:tcBorders>
          </w:tcPr>
          <w:p>
            <w:pPr>
              <w:spacing w:after="0"/>
              <w:rPr>
                <w:sz w:val="19"/>
                <w:szCs w:val="19"/>
                <w:color w:val="auto"/>
              </w:rPr>
            </w:pPr>
          </w:p>
        </w:tc>
        <w:tc>
          <w:tcPr>
            <w:tcW w:w="800" w:type="dxa"/>
            <w:vAlign w:val="bottom"/>
            <w:tcBorders>
              <w:bottom w:val="single" w:sz="8" w:color="BFBFB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line="169" w:lineRule="exact"/>
              <w:rPr>
                <w:sz w:val="20"/>
                <w:szCs w:val="20"/>
                <w:color w:val="auto"/>
              </w:rPr>
            </w:pPr>
            <w:r>
              <w:rPr>
                <w:rFonts w:ascii="Arial" w:cs="Arial" w:eastAsia="Arial" w:hAnsi="Arial"/>
                <w:sz w:val="18"/>
                <w:szCs w:val="18"/>
                <w:color w:val="auto"/>
              </w:rPr>
              <w:t>Issuance of common stock in</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80" w:type="dxa"/>
            <w:vAlign w:val="bottom"/>
          </w:tcPr>
          <w:p>
            <w:pPr>
              <w:ind w:left="180"/>
              <w:spacing w:after="0" w:line="183" w:lineRule="exact"/>
              <w:rPr>
                <w:sz w:val="20"/>
                <w:szCs w:val="20"/>
                <w:color w:val="auto"/>
              </w:rPr>
            </w:pPr>
            <w:r>
              <w:rPr>
                <w:rFonts w:ascii="Arial" w:cs="Arial" w:eastAsia="Arial" w:hAnsi="Arial"/>
                <w:sz w:val="18"/>
                <w:szCs w:val="18"/>
                <w:color w:val="auto"/>
              </w:rPr>
              <w:t>connection with employee</w:t>
            </w: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258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auto"/>
              </w:rPr>
              <w:t>savings and stock plans</w:t>
            </w:r>
          </w:p>
        </w:tc>
        <w:tc>
          <w:tcPr>
            <w:tcW w:w="920" w:type="dxa"/>
            <w:vAlign w:val="bottom"/>
            <w:tcBorders>
              <w:bottom w:val="single" w:sz="8" w:color="BFBFBF"/>
            </w:tcBorders>
            <w:vMerge w:val="continue"/>
          </w:tcPr>
          <w:p>
            <w:pPr>
              <w:spacing w:after="0"/>
              <w:rPr>
                <w:sz w:val="20"/>
                <w:szCs w:val="20"/>
                <w:color w:val="auto"/>
              </w:rPr>
            </w:pPr>
          </w:p>
        </w:tc>
        <w:tc>
          <w:tcPr>
            <w:tcW w:w="220" w:type="dxa"/>
            <w:vAlign w:val="bottom"/>
            <w:tcBorders>
              <w:bottom w:val="single" w:sz="8" w:color="BFBFBF"/>
            </w:tcBorders>
          </w:tcPr>
          <w:p>
            <w:pPr>
              <w:spacing w:after="0"/>
              <w:rPr>
                <w:sz w:val="20"/>
                <w:szCs w:val="20"/>
                <w:color w:val="auto"/>
              </w:rPr>
            </w:pPr>
          </w:p>
        </w:tc>
        <w:tc>
          <w:tcPr>
            <w:tcW w:w="780" w:type="dxa"/>
            <w:vAlign w:val="bottom"/>
            <w:tcBorders>
              <w:bottom w:val="single" w:sz="8" w:color="BFBFBF"/>
            </w:tcBorders>
            <w:vMerge w:val="continue"/>
          </w:tcPr>
          <w:p>
            <w:pPr>
              <w:spacing w:after="0"/>
              <w:rPr>
                <w:sz w:val="20"/>
                <w:szCs w:val="20"/>
                <w:color w:val="auto"/>
              </w:rPr>
            </w:pPr>
          </w:p>
        </w:tc>
        <w:tc>
          <w:tcPr>
            <w:tcW w:w="200" w:type="dxa"/>
            <w:vAlign w:val="bottom"/>
            <w:tcBorders>
              <w:bottom w:val="single" w:sz="8" w:color="BFBFBF"/>
            </w:tcBorders>
          </w:tcPr>
          <w:p>
            <w:pPr>
              <w:spacing w:after="0"/>
              <w:rPr>
                <w:sz w:val="20"/>
                <w:szCs w:val="20"/>
                <w:color w:val="auto"/>
              </w:rPr>
            </w:pPr>
          </w:p>
        </w:tc>
        <w:tc>
          <w:tcPr>
            <w:tcW w:w="860" w:type="dxa"/>
            <w:vAlign w:val="bottom"/>
            <w:tcBorders>
              <w:bottom w:val="single" w:sz="8" w:color="BFBFBF"/>
            </w:tcBorders>
            <w:vMerge w:val="continue"/>
          </w:tcPr>
          <w:p>
            <w:pPr>
              <w:spacing w:after="0"/>
              <w:rPr>
                <w:sz w:val="20"/>
                <w:szCs w:val="20"/>
                <w:color w:val="auto"/>
              </w:rPr>
            </w:pPr>
          </w:p>
        </w:tc>
        <w:tc>
          <w:tcPr>
            <w:tcW w:w="200" w:type="dxa"/>
            <w:vAlign w:val="bottom"/>
            <w:tcBorders>
              <w:bottom w:val="single" w:sz="8" w:color="BFBFBF"/>
            </w:tcBorders>
          </w:tcPr>
          <w:p>
            <w:pPr>
              <w:spacing w:after="0"/>
              <w:rPr>
                <w:sz w:val="20"/>
                <w:szCs w:val="20"/>
                <w:color w:val="auto"/>
              </w:rPr>
            </w:pPr>
          </w:p>
        </w:tc>
        <w:tc>
          <w:tcPr>
            <w:tcW w:w="900" w:type="dxa"/>
            <w:vAlign w:val="bottom"/>
            <w:tcBorders>
              <w:bottom w:val="single" w:sz="8" w:color="BFBFBF"/>
            </w:tcBorders>
            <w:vMerge w:val="continue"/>
          </w:tcPr>
          <w:p>
            <w:pPr>
              <w:spacing w:after="0"/>
              <w:rPr>
                <w:sz w:val="20"/>
                <w:szCs w:val="20"/>
                <w:color w:val="auto"/>
              </w:rPr>
            </w:pPr>
          </w:p>
        </w:tc>
        <w:tc>
          <w:tcPr>
            <w:tcW w:w="240" w:type="dxa"/>
            <w:vAlign w:val="bottom"/>
            <w:tcBorders>
              <w:bottom w:val="single" w:sz="8" w:color="BFBFBF"/>
            </w:tcBorders>
          </w:tcPr>
          <w:p>
            <w:pPr>
              <w:spacing w:after="0"/>
              <w:rPr>
                <w:sz w:val="20"/>
                <w:szCs w:val="20"/>
                <w:color w:val="auto"/>
              </w:rPr>
            </w:pPr>
          </w:p>
        </w:tc>
        <w:tc>
          <w:tcPr>
            <w:tcW w:w="840" w:type="dxa"/>
            <w:vAlign w:val="bottom"/>
            <w:tcBorders>
              <w:bottom w:val="single" w:sz="8" w:color="BFBFBF"/>
            </w:tcBorders>
            <w:vMerge w:val="continue"/>
          </w:tcPr>
          <w:p>
            <w:pPr>
              <w:spacing w:after="0"/>
              <w:rPr>
                <w:sz w:val="20"/>
                <w:szCs w:val="20"/>
                <w:color w:val="auto"/>
              </w:rPr>
            </w:pPr>
          </w:p>
        </w:tc>
        <w:tc>
          <w:tcPr>
            <w:tcW w:w="300" w:type="dxa"/>
            <w:vAlign w:val="bottom"/>
            <w:tcBorders>
              <w:bottom w:val="single" w:sz="8" w:color="BFBFBF"/>
            </w:tcBorders>
          </w:tcPr>
          <w:p>
            <w:pPr>
              <w:spacing w:after="0"/>
              <w:rPr>
                <w:sz w:val="20"/>
                <w:szCs w:val="20"/>
                <w:color w:val="auto"/>
              </w:rPr>
            </w:pPr>
          </w:p>
        </w:tc>
        <w:tc>
          <w:tcPr>
            <w:tcW w:w="920" w:type="dxa"/>
            <w:vAlign w:val="bottom"/>
            <w:tcBorders>
              <w:bottom w:val="single" w:sz="8" w:color="BFBFBF"/>
            </w:tcBorders>
            <w:vMerge w:val="continue"/>
          </w:tcPr>
          <w:p>
            <w:pPr>
              <w:spacing w:after="0"/>
              <w:rPr>
                <w:sz w:val="20"/>
                <w:szCs w:val="20"/>
                <w:color w:val="auto"/>
              </w:rPr>
            </w:pPr>
          </w:p>
        </w:tc>
        <w:tc>
          <w:tcPr>
            <w:tcW w:w="220" w:type="dxa"/>
            <w:vAlign w:val="bottom"/>
            <w:tcBorders>
              <w:bottom w:val="single" w:sz="8" w:color="BFBFBF"/>
            </w:tcBorders>
          </w:tcPr>
          <w:p>
            <w:pPr>
              <w:spacing w:after="0"/>
              <w:rPr>
                <w:sz w:val="20"/>
                <w:szCs w:val="20"/>
                <w:color w:val="auto"/>
              </w:rPr>
            </w:pPr>
          </w:p>
        </w:tc>
        <w:tc>
          <w:tcPr>
            <w:tcW w:w="920" w:type="dxa"/>
            <w:vAlign w:val="bottom"/>
            <w:tcBorders>
              <w:bottom w:val="single" w:sz="8" w:color="BFBFBF"/>
            </w:tcBorders>
            <w:vMerge w:val="continue"/>
          </w:tcPr>
          <w:p>
            <w:pPr>
              <w:spacing w:after="0"/>
              <w:rPr>
                <w:sz w:val="20"/>
                <w:szCs w:val="20"/>
                <w:color w:val="auto"/>
              </w:rPr>
            </w:pPr>
          </w:p>
        </w:tc>
        <w:tc>
          <w:tcPr>
            <w:tcW w:w="220" w:type="dxa"/>
            <w:vAlign w:val="bottom"/>
            <w:tcBorders>
              <w:bottom w:val="single" w:sz="8" w:color="BFBFBF"/>
            </w:tcBorders>
          </w:tcPr>
          <w:p>
            <w:pPr>
              <w:spacing w:after="0"/>
              <w:rPr>
                <w:sz w:val="20"/>
                <w:szCs w:val="20"/>
                <w:color w:val="auto"/>
              </w:rPr>
            </w:pPr>
          </w:p>
        </w:tc>
        <w:tc>
          <w:tcPr>
            <w:tcW w:w="800" w:type="dxa"/>
            <w:vAlign w:val="bottom"/>
            <w:tcBorders>
              <w:bottom w:val="single" w:sz="8" w:color="BFBFB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Other comprehensive loss</w:t>
            </w:r>
          </w:p>
        </w:tc>
        <w:tc>
          <w:tcPr>
            <w:tcW w:w="9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9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BFBFBF"/>
            </w:tcBorders>
          </w:tcPr>
          <w:p>
            <w:pPr>
              <w:spacing w:after="0"/>
              <w:rPr>
                <w:sz w:val="19"/>
                <w:szCs w:val="19"/>
                <w:color w:val="auto"/>
              </w:rPr>
            </w:pPr>
          </w:p>
        </w:tc>
        <w:tc>
          <w:tcPr>
            <w:tcW w:w="84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8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line="169" w:lineRule="exact"/>
              <w:rPr>
                <w:sz w:val="20"/>
                <w:szCs w:val="20"/>
                <w:color w:val="auto"/>
              </w:rPr>
            </w:pPr>
            <w:r>
              <w:rPr>
                <w:rFonts w:ascii="Arial" w:cs="Arial" w:eastAsia="Arial" w:hAnsi="Arial"/>
                <w:sz w:val="18"/>
                <w:szCs w:val="18"/>
                <w:color w:val="auto"/>
              </w:rPr>
              <w:t>Dividends to noncontrolling</w:t>
            </w: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4"/>
                <w:szCs w:val="14"/>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58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auto"/>
              </w:rPr>
              <w:t>interests</w:t>
            </w:r>
          </w:p>
        </w:tc>
        <w:tc>
          <w:tcPr>
            <w:tcW w:w="920" w:type="dxa"/>
            <w:vAlign w:val="bottom"/>
            <w:tcBorders>
              <w:bottom w:val="single" w:sz="8" w:color="BFBFBF"/>
            </w:tcBorders>
            <w:vMerge w:val="continue"/>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780" w:type="dxa"/>
            <w:vAlign w:val="bottom"/>
            <w:tcBorders>
              <w:bottom w:val="single" w:sz="8" w:color="BFBFBF"/>
            </w:tcBorders>
            <w:vMerge w:val="continue"/>
          </w:tcPr>
          <w:p>
            <w:pPr>
              <w:spacing w:after="0"/>
              <w:rPr>
                <w:sz w:val="21"/>
                <w:szCs w:val="21"/>
                <w:color w:val="auto"/>
              </w:rPr>
            </w:pPr>
          </w:p>
        </w:tc>
        <w:tc>
          <w:tcPr>
            <w:tcW w:w="200" w:type="dxa"/>
            <w:vAlign w:val="bottom"/>
            <w:tcBorders>
              <w:bottom w:val="single" w:sz="8" w:color="BFBFBF"/>
            </w:tcBorders>
          </w:tcPr>
          <w:p>
            <w:pPr>
              <w:spacing w:after="0"/>
              <w:rPr>
                <w:sz w:val="21"/>
                <w:szCs w:val="21"/>
                <w:color w:val="auto"/>
              </w:rPr>
            </w:pPr>
          </w:p>
        </w:tc>
        <w:tc>
          <w:tcPr>
            <w:tcW w:w="860" w:type="dxa"/>
            <w:vAlign w:val="bottom"/>
            <w:tcBorders>
              <w:bottom w:val="single" w:sz="8" w:color="BFBFBF"/>
            </w:tcBorders>
            <w:vMerge w:val="continue"/>
          </w:tcPr>
          <w:p>
            <w:pPr>
              <w:spacing w:after="0"/>
              <w:rPr>
                <w:sz w:val="21"/>
                <w:szCs w:val="21"/>
                <w:color w:val="auto"/>
              </w:rPr>
            </w:pPr>
          </w:p>
        </w:tc>
        <w:tc>
          <w:tcPr>
            <w:tcW w:w="200" w:type="dxa"/>
            <w:vAlign w:val="bottom"/>
            <w:tcBorders>
              <w:bottom w:val="single" w:sz="8" w:color="BFBFBF"/>
            </w:tcBorders>
          </w:tcPr>
          <w:p>
            <w:pPr>
              <w:spacing w:after="0"/>
              <w:rPr>
                <w:sz w:val="21"/>
                <w:szCs w:val="21"/>
                <w:color w:val="auto"/>
              </w:rPr>
            </w:pPr>
          </w:p>
        </w:tc>
        <w:tc>
          <w:tcPr>
            <w:tcW w:w="900" w:type="dxa"/>
            <w:vAlign w:val="bottom"/>
            <w:tcBorders>
              <w:bottom w:val="single" w:sz="8" w:color="BFBFBF"/>
            </w:tcBorders>
            <w:vMerge w:val="continue"/>
          </w:tcPr>
          <w:p>
            <w:pPr>
              <w:spacing w:after="0"/>
              <w:rPr>
                <w:sz w:val="21"/>
                <w:szCs w:val="21"/>
                <w:color w:val="auto"/>
              </w:rPr>
            </w:pPr>
          </w:p>
        </w:tc>
        <w:tc>
          <w:tcPr>
            <w:tcW w:w="240" w:type="dxa"/>
            <w:vAlign w:val="bottom"/>
            <w:tcBorders>
              <w:bottom w:val="single" w:sz="8" w:color="BFBFBF"/>
            </w:tcBorders>
          </w:tcPr>
          <w:p>
            <w:pPr>
              <w:spacing w:after="0"/>
              <w:rPr>
                <w:sz w:val="21"/>
                <w:szCs w:val="21"/>
                <w:color w:val="auto"/>
              </w:rPr>
            </w:pPr>
          </w:p>
        </w:tc>
        <w:tc>
          <w:tcPr>
            <w:tcW w:w="840" w:type="dxa"/>
            <w:vAlign w:val="bottom"/>
            <w:tcBorders>
              <w:bottom w:val="single" w:sz="8" w:color="BFBFBF"/>
            </w:tcBorders>
            <w:vMerge w:val="continue"/>
          </w:tcPr>
          <w:p>
            <w:pPr>
              <w:spacing w:after="0"/>
              <w:rPr>
                <w:sz w:val="21"/>
                <w:szCs w:val="21"/>
                <w:color w:val="auto"/>
              </w:rPr>
            </w:pPr>
          </w:p>
        </w:tc>
        <w:tc>
          <w:tcPr>
            <w:tcW w:w="300" w:type="dxa"/>
            <w:vAlign w:val="bottom"/>
            <w:tcBorders>
              <w:bottom w:val="single" w:sz="8" w:color="BFBFBF"/>
            </w:tcBorders>
          </w:tcPr>
          <w:p>
            <w:pPr>
              <w:spacing w:after="0"/>
              <w:rPr>
                <w:sz w:val="21"/>
                <w:szCs w:val="21"/>
                <w:color w:val="auto"/>
              </w:rPr>
            </w:pPr>
          </w:p>
        </w:tc>
        <w:tc>
          <w:tcPr>
            <w:tcW w:w="920" w:type="dxa"/>
            <w:vAlign w:val="bottom"/>
            <w:tcBorders>
              <w:bottom w:val="single" w:sz="8" w:color="BFBFBF"/>
            </w:tcBorders>
            <w:vMerge w:val="continue"/>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920" w:type="dxa"/>
            <w:vAlign w:val="bottom"/>
            <w:tcBorders>
              <w:bottom w:val="single" w:sz="8" w:color="BFBFBF"/>
            </w:tcBorders>
            <w:vMerge w:val="continue"/>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800" w:type="dxa"/>
            <w:vAlign w:val="bottom"/>
            <w:tcBorders>
              <w:bottom w:val="single" w:sz="8" w:color="BFBFB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line="169" w:lineRule="exact"/>
              <w:rPr>
                <w:sz w:val="20"/>
                <w:szCs w:val="20"/>
                <w:color w:val="auto"/>
              </w:rPr>
            </w:pPr>
            <w:r>
              <w:rPr>
                <w:rFonts w:ascii="Arial" w:cs="Arial" w:eastAsia="Arial" w:hAnsi="Arial"/>
                <w:sz w:val="18"/>
                <w:szCs w:val="18"/>
                <w:color w:val="auto"/>
              </w:rPr>
              <w:t>Stock-based compensation</w:t>
            </w: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4"/>
                <w:szCs w:val="14"/>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4"/>
                <w:szCs w:val="14"/>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580" w:type="dxa"/>
            <w:vAlign w:val="bottom"/>
            <w:tcBorders>
              <w:bottom w:val="single" w:sz="8" w:color="384348"/>
            </w:tcBorders>
          </w:tcPr>
          <w:p>
            <w:pPr>
              <w:ind w:left="180"/>
              <w:spacing w:after="0"/>
              <w:rPr>
                <w:sz w:val="20"/>
                <w:szCs w:val="20"/>
                <w:color w:val="auto"/>
              </w:rPr>
            </w:pPr>
            <w:r>
              <w:rPr>
                <w:rFonts w:ascii="Arial" w:cs="Arial" w:eastAsia="Arial" w:hAnsi="Arial"/>
                <w:sz w:val="18"/>
                <w:szCs w:val="18"/>
                <w:color w:val="auto"/>
              </w:rPr>
              <w:t>expense</w:t>
            </w:r>
          </w:p>
        </w:tc>
        <w:tc>
          <w:tcPr>
            <w:tcW w:w="92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tcPr>
          <w:p>
            <w:pPr>
              <w:spacing w:after="0"/>
              <w:rPr>
                <w:sz w:val="21"/>
                <w:szCs w:val="21"/>
                <w:color w:val="auto"/>
              </w:rPr>
            </w:pPr>
          </w:p>
        </w:tc>
        <w:tc>
          <w:tcPr>
            <w:tcW w:w="7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tcPr>
          <w:p>
            <w:pPr>
              <w:spacing w:after="0"/>
              <w:rPr>
                <w:sz w:val="21"/>
                <w:szCs w:val="21"/>
                <w:color w:val="auto"/>
              </w:rPr>
            </w:pPr>
          </w:p>
        </w:tc>
        <w:tc>
          <w:tcPr>
            <w:tcW w:w="86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tcPr>
          <w:p>
            <w:pPr>
              <w:spacing w:after="0"/>
              <w:rPr>
                <w:sz w:val="21"/>
                <w:szCs w:val="21"/>
                <w:color w:val="auto"/>
              </w:rPr>
            </w:pPr>
          </w:p>
        </w:tc>
        <w:tc>
          <w:tcPr>
            <w:tcW w:w="900" w:type="dxa"/>
            <w:vAlign w:val="bottom"/>
            <w:tcBorders>
              <w:bottom w:val="single" w:sz="8" w:color="384348"/>
            </w:tcBorders>
            <w:vMerge w:val="continue"/>
          </w:tcPr>
          <w:p>
            <w:pPr>
              <w:spacing w:after="0"/>
              <w:rPr>
                <w:sz w:val="21"/>
                <w:szCs w:val="21"/>
                <w:color w:val="auto"/>
              </w:rPr>
            </w:pPr>
          </w:p>
        </w:tc>
        <w:tc>
          <w:tcPr>
            <w:tcW w:w="240" w:type="dxa"/>
            <w:vAlign w:val="bottom"/>
            <w:tcBorders>
              <w:bottom w:val="single" w:sz="8" w:color="384348"/>
            </w:tcBorders>
          </w:tcPr>
          <w:p>
            <w:pPr>
              <w:spacing w:after="0"/>
              <w:rPr>
                <w:sz w:val="21"/>
                <w:szCs w:val="21"/>
                <w:color w:val="auto"/>
              </w:rPr>
            </w:pPr>
          </w:p>
        </w:tc>
        <w:tc>
          <w:tcPr>
            <w:tcW w:w="840" w:type="dxa"/>
            <w:vAlign w:val="bottom"/>
            <w:tcBorders>
              <w:bottom w:val="single" w:sz="8" w:color="384348"/>
            </w:tcBorders>
            <w:vMerge w:val="continue"/>
          </w:tcPr>
          <w:p>
            <w:pPr>
              <w:spacing w:after="0"/>
              <w:rPr>
                <w:sz w:val="21"/>
                <w:szCs w:val="21"/>
                <w:color w:val="auto"/>
              </w:rPr>
            </w:pPr>
          </w:p>
        </w:tc>
        <w:tc>
          <w:tcPr>
            <w:tcW w:w="300" w:type="dxa"/>
            <w:vAlign w:val="bottom"/>
            <w:tcBorders>
              <w:bottom w:val="single" w:sz="8" w:color="384348"/>
            </w:tcBorders>
          </w:tcPr>
          <w:p>
            <w:pPr>
              <w:spacing w:after="0"/>
              <w:rPr>
                <w:sz w:val="21"/>
                <w:szCs w:val="21"/>
                <w:color w:val="auto"/>
              </w:rPr>
            </w:pPr>
          </w:p>
        </w:tc>
        <w:tc>
          <w:tcPr>
            <w:tcW w:w="92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tcPr>
          <w:p>
            <w:pPr>
              <w:spacing w:after="0"/>
              <w:rPr>
                <w:sz w:val="21"/>
                <w:szCs w:val="21"/>
                <w:color w:val="auto"/>
              </w:rPr>
            </w:pPr>
          </w:p>
        </w:tc>
        <w:tc>
          <w:tcPr>
            <w:tcW w:w="92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tcPr>
          <w:p>
            <w:pPr>
              <w:spacing w:after="0"/>
              <w:rPr>
                <w:sz w:val="21"/>
                <w:szCs w:val="21"/>
                <w:color w:val="auto"/>
              </w:rPr>
            </w:pPr>
          </w:p>
        </w:tc>
        <w:tc>
          <w:tcPr>
            <w:tcW w:w="800" w:type="dxa"/>
            <w:vAlign w:val="bottom"/>
            <w:tcBorders>
              <w:bottom w:val="single" w:sz="8" w:color="384348"/>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Balance as of September 26,</w:t>
            </w: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317.0</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(1,804)</w:t>
            </w:r>
          </w:p>
        </w:tc>
        <w:tc>
          <w:tcPr>
            <w:tcW w:w="3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(800)</w:t>
            </w:r>
          </w:p>
        </w:tc>
        <w:tc>
          <w:tcPr>
            <w:tcW w:w="2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83</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(2,489)</w:t>
            </w:r>
          </w:p>
        </w:tc>
        <w:tc>
          <w:tcPr>
            <w:tcW w:w="0" w:type="dxa"/>
            <w:vAlign w:val="bottom"/>
          </w:tcPr>
          <w:p>
            <w:pPr>
              <w:spacing w:after="0"/>
              <w:rPr>
                <w:sz w:val="1"/>
                <w:szCs w:val="1"/>
                <w:color w:val="auto"/>
              </w:rPr>
            </w:pPr>
          </w:p>
        </w:tc>
      </w:tr>
      <w:tr>
        <w:trPr>
          <w:trHeight w:val="243"/>
        </w:trPr>
        <w:tc>
          <w:tcPr>
            <w:tcW w:w="2580" w:type="dxa"/>
            <w:vAlign w:val="bottom"/>
            <w:tcBorders>
              <w:bottom w:val="single" w:sz="8" w:color="384348"/>
            </w:tcBorders>
          </w:tcPr>
          <w:p>
            <w:pPr>
              <w:ind w:left="180"/>
              <w:spacing w:after="0"/>
              <w:rPr>
                <w:sz w:val="20"/>
                <w:szCs w:val="20"/>
                <w:color w:val="auto"/>
              </w:rPr>
            </w:pPr>
            <w:r>
              <w:rPr>
                <w:rFonts w:ascii="Arial" w:cs="Arial" w:eastAsia="Arial" w:hAnsi="Arial"/>
                <w:sz w:val="18"/>
                <w:szCs w:val="18"/>
                <w:b w:val="1"/>
                <w:bCs w:val="1"/>
                <w:color w:val="auto"/>
              </w:rPr>
              <w:t>2026</w:t>
            </w:r>
          </w:p>
        </w:tc>
        <w:tc>
          <w:tcPr>
            <w:tcW w:w="92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7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86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900" w:type="dxa"/>
            <w:vAlign w:val="bottom"/>
            <w:tcBorders>
              <w:bottom w:val="single" w:sz="8" w:color="384348"/>
            </w:tcBorders>
            <w:vMerge w:val="continue"/>
          </w:tcPr>
          <w:p>
            <w:pPr>
              <w:spacing w:after="0"/>
              <w:rPr>
                <w:sz w:val="21"/>
                <w:szCs w:val="21"/>
                <w:color w:val="auto"/>
              </w:rPr>
            </w:pPr>
          </w:p>
        </w:tc>
        <w:tc>
          <w:tcPr>
            <w:tcW w:w="240" w:type="dxa"/>
            <w:vAlign w:val="bottom"/>
            <w:tcBorders>
              <w:bottom w:val="single" w:sz="8" w:color="384348"/>
            </w:tcBorders>
            <w:vMerge w:val="continue"/>
          </w:tcPr>
          <w:p>
            <w:pPr>
              <w:spacing w:after="0"/>
              <w:rPr>
                <w:sz w:val="21"/>
                <w:szCs w:val="21"/>
                <w:color w:val="auto"/>
              </w:rPr>
            </w:pPr>
          </w:p>
        </w:tc>
        <w:tc>
          <w:tcPr>
            <w:tcW w:w="840" w:type="dxa"/>
            <w:vAlign w:val="bottom"/>
            <w:tcBorders>
              <w:bottom w:val="single" w:sz="8" w:color="384348"/>
            </w:tcBorders>
            <w:vMerge w:val="continue"/>
          </w:tcPr>
          <w:p>
            <w:pPr>
              <w:spacing w:after="0"/>
              <w:rPr>
                <w:sz w:val="21"/>
                <w:szCs w:val="21"/>
                <w:color w:val="auto"/>
              </w:rPr>
            </w:pPr>
          </w:p>
        </w:tc>
        <w:tc>
          <w:tcPr>
            <w:tcW w:w="300" w:type="dxa"/>
            <w:vAlign w:val="bottom"/>
            <w:tcBorders>
              <w:bottom w:val="single" w:sz="8" w:color="384348"/>
            </w:tcBorders>
            <w:vMerge w:val="continue"/>
          </w:tcPr>
          <w:p>
            <w:pPr>
              <w:spacing w:after="0"/>
              <w:rPr>
                <w:sz w:val="21"/>
                <w:szCs w:val="21"/>
                <w:color w:val="auto"/>
              </w:rPr>
            </w:pPr>
          </w:p>
        </w:tc>
        <w:tc>
          <w:tcPr>
            <w:tcW w:w="92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92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800" w:type="dxa"/>
            <w:vAlign w:val="bottom"/>
            <w:tcBorders>
              <w:bottom w:val="single" w:sz="8" w:color="384348"/>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176530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62" w:right="399" w:bottom="1440" w:gutter="0" w:footer="0" w:header="0"/>
        </w:sectPr>
      </w:pPr>
    </w:p>
    <w:bookmarkStart w:id="10" w:name="page11"/>
    <w:bookmarkEnd w:id="10"/>
    <w:p>
      <w:pPr>
        <w:ind w:left="158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1940" w:type="dxa"/>
            <w:vAlign w:val="bottom"/>
            <w:tcBorders>
              <w:bottom w:val="single" w:sz="8" w:color="FF4400"/>
            </w:tcBorders>
            <w:gridSpan w:val="3"/>
          </w:tcPr>
          <w:p>
            <w:pPr>
              <w:jc w:val="right"/>
              <w:ind w:right="351"/>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Net Parent</w:t>
            </w:r>
          </w:p>
        </w:tc>
        <w:tc>
          <w:tcPr>
            <w:tcW w:w="200" w:type="dxa"/>
            <w:vAlign w:val="bottom"/>
          </w:tcPr>
          <w:p>
            <w:pPr>
              <w:spacing w:after="0"/>
              <w:rPr>
                <w:sz w:val="12"/>
                <w:szCs w:val="12"/>
                <w:color w:val="auto"/>
              </w:rPr>
            </w:pPr>
          </w:p>
        </w:tc>
        <w:tc>
          <w:tcPr>
            <w:tcW w:w="8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Retained</w:t>
            </w:r>
          </w:p>
        </w:tc>
        <w:tc>
          <w:tcPr>
            <w:tcW w:w="280" w:type="dxa"/>
            <w:vAlign w:val="bottom"/>
          </w:tcPr>
          <w:p>
            <w:pPr>
              <w:spacing w:after="0"/>
              <w:rPr>
                <w:sz w:val="12"/>
                <w:szCs w:val="12"/>
                <w:color w:val="auto"/>
              </w:rPr>
            </w:pPr>
          </w:p>
        </w:tc>
        <w:tc>
          <w:tcPr>
            <w:tcW w:w="920" w:type="dxa"/>
            <w:vAlign w:val="bottom"/>
          </w:tcPr>
          <w:p>
            <w:pPr>
              <w:jc w:val="center"/>
              <w:ind w:right="172"/>
              <w:spacing w:after="0" w:line="145" w:lineRule="exact"/>
              <w:rPr>
                <w:sz w:val="20"/>
                <w:szCs w:val="20"/>
                <w:color w:val="auto"/>
              </w:rPr>
            </w:pPr>
            <w:r>
              <w:rPr>
                <w:rFonts w:ascii="Arial" w:cs="Arial" w:eastAsia="Arial" w:hAnsi="Arial"/>
                <w:sz w:val="14"/>
                <w:szCs w:val="14"/>
                <w:b w:val="1"/>
                <w:bCs w:val="1"/>
                <w:color w:val="auto"/>
              </w:rPr>
              <w:t>Other</w:t>
            </w: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Noncontrolling</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9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7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88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Comprehensive</w:t>
            </w:r>
          </w:p>
        </w:tc>
        <w:tc>
          <w:tcPr>
            <w:tcW w:w="11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00" w:type="dxa"/>
            <w:vAlign w:val="bottom"/>
            <w:tcBorders>
              <w:bottom w:val="single" w:sz="8" w:color="FF4400"/>
            </w:tcBorders>
          </w:tcPr>
          <w:p>
            <w:pPr>
              <w:spacing w:after="0"/>
              <w:rPr>
                <w:sz w:val="16"/>
                <w:szCs w:val="16"/>
                <w:color w:val="auto"/>
              </w:rPr>
            </w:pPr>
          </w:p>
        </w:tc>
        <w:tc>
          <w:tcPr>
            <w:tcW w:w="940" w:type="dxa"/>
            <w:vAlign w:val="bottom"/>
            <w:tcBorders>
              <w:bottom w:val="single" w:sz="8" w:color="FF4400"/>
            </w:tcBorders>
            <w:vMerge w:val="continue"/>
          </w:tcPr>
          <w:p>
            <w:pPr>
              <w:spacing w:after="0"/>
              <w:rPr>
                <w:sz w:val="16"/>
                <w:szCs w:val="16"/>
                <w:color w:val="auto"/>
              </w:rPr>
            </w:pPr>
          </w:p>
        </w:tc>
        <w:tc>
          <w:tcPr>
            <w:tcW w:w="220" w:type="dxa"/>
            <w:vAlign w:val="bottom"/>
            <w:tcBorders>
              <w:bottom w:val="single" w:sz="8" w:color="FF4400"/>
            </w:tcBorders>
          </w:tcPr>
          <w:p>
            <w:pPr>
              <w:spacing w:after="0"/>
              <w:rPr>
                <w:sz w:val="16"/>
                <w:szCs w:val="16"/>
                <w:color w:val="auto"/>
              </w:rPr>
            </w:pPr>
          </w:p>
        </w:tc>
        <w:tc>
          <w:tcPr>
            <w:tcW w:w="780" w:type="dxa"/>
            <w:vAlign w:val="bottom"/>
            <w:tcBorders>
              <w:bottom w:val="single" w:sz="8" w:color="FF4400"/>
            </w:tcBorders>
            <w:vMerge w:val="continue"/>
          </w:tcPr>
          <w:p>
            <w:pPr>
              <w:spacing w:after="0"/>
              <w:rPr>
                <w:sz w:val="16"/>
                <w:szCs w:val="16"/>
                <w:color w:val="auto"/>
              </w:rPr>
            </w:pPr>
          </w:p>
        </w:tc>
        <w:tc>
          <w:tcPr>
            <w:tcW w:w="200" w:type="dxa"/>
            <w:vAlign w:val="bottom"/>
            <w:tcBorders>
              <w:bottom w:val="single" w:sz="8" w:color="FF4400"/>
            </w:tcBorders>
          </w:tcPr>
          <w:p>
            <w:pPr>
              <w:spacing w:after="0"/>
              <w:rPr>
                <w:sz w:val="16"/>
                <w:szCs w:val="16"/>
                <w:color w:val="auto"/>
              </w:rPr>
            </w:pPr>
          </w:p>
        </w:tc>
        <w:tc>
          <w:tcPr>
            <w:tcW w:w="880" w:type="dxa"/>
            <w:vAlign w:val="bottom"/>
            <w:tcBorders>
              <w:bottom w:val="single" w:sz="8" w:color="FF4400"/>
            </w:tcBorders>
          </w:tcPr>
          <w:p>
            <w:pPr>
              <w:jc w:val="right"/>
              <w:ind w:right="173"/>
              <w:spacing w:after="0"/>
              <w:rPr>
                <w:sz w:val="20"/>
                <w:szCs w:val="20"/>
                <w:color w:val="auto"/>
              </w:rPr>
            </w:pPr>
            <w:r>
              <w:rPr>
                <w:rFonts w:ascii="Arial" w:cs="Arial" w:eastAsia="Arial" w:hAnsi="Arial"/>
                <w:sz w:val="14"/>
                <w:szCs w:val="14"/>
                <w:b w:val="1"/>
                <w:bCs w:val="1"/>
                <w:color w:val="auto"/>
              </w:rPr>
              <w:t>Capital</w:t>
            </w:r>
          </w:p>
        </w:tc>
        <w:tc>
          <w:tcPr>
            <w:tcW w:w="1080" w:type="dxa"/>
            <w:vAlign w:val="bottom"/>
            <w:tcBorders>
              <w:bottom w:val="single" w:sz="8" w:color="FF4400"/>
            </w:tcBorders>
            <w:gridSpan w:val="2"/>
          </w:tcPr>
          <w:p>
            <w:pPr>
              <w:jc w:val="right"/>
              <w:ind w:right="51"/>
              <w:spacing w:after="0"/>
              <w:rPr>
                <w:sz w:val="20"/>
                <w:szCs w:val="20"/>
                <w:color w:val="auto"/>
              </w:rPr>
            </w:pPr>
            <w:r>
              <w:rPr>
                <w:rFonts w:ascii="Arial" w:cs="Arial" w:eastAsia="Arial" w:hAnsi="Arial"/>
                <w:sz w:val="14"/>
                <w:szCs w:val="14"/>
                <w:b w:val="1"/>
                <w:bCs w:val="1"/>
                <w:color w:val="auto"/>
              </w:rPr>
              <w:t>Investment</w:t>
            </w:r>
          </w:p>
        </w:tc>
        <w:tc>
          <w:tcPr>
            <w:tcW w:w="200" w:type="dxa"/>
            <w:vAlign w:val="bottom"/>
            <w:tcBorders>
              <w:bottom w:val="single" w:sz="8" w:color="FF4400"/>
            </w:tcBorders>
          </w:tcPr>
          <w:p>
            <w:pPr>
              <w:spacing w:after="0"/>
              <w:rPr>
                <w:sz w:val="16"/>
                <w:szCs w:val="16"/>
                <w:color w:val="auto"/>
              </w:rPr>
            </w:pPr>
          </w:p>
        </w:tc>
        <w:tc>
          <w:tcPr>
            <w:tcW w:w="860" w:type="dxa"/>
            <w:vAlign w:val="bottom"/>
            <w:tcBorders>
              <w:bottom w:val="single" w:sz="8" w:color="FF4400"/>
            </w:tcBorders>
          </w:tcPr>
          <w:p>
            <w:pPr>
              <w:jc w:val="right"/>
              <w:ind w:right="132"/>
              <w:spacing w:after="0"/>
              <w:rPr>
                <w:sz w:val="20"/>
                <w:szCs w:val="20"/>
                <w:color w:val="auto"/>
              </w:rPr>
            </w:pPr>
            <w:r>
              <w:rPr>
                <w:rFonts w:ascii="Arial" w:cs="Arial" w:eastAsia="Arial" w:hAnsi="Arial"/>
                <w:sz w:val="14"/>
                <w:szCs w:val="14"/>
                <w:b w:val="1"/>
                <w:bCs w:val="1"/>
                <w:color w:val="auto"/>
              </w:rPr>
              <w:t>Earnings</w:t>
            </w:r>
          </w:p>
        </w:tc>
        <w:tc>
          <w:tcPr>
            <w:tcW w:w="280" w:type="dxa"/>
            <w:vAlign w:val="bottom"/>
            <w:tcBorders>
              <w:bottom w:val="single" w:sz="8" w:color="FF4400"/>
            </w:tcBorders>
          </w:tcPr>
          <w:p>
            <w:pPr>
              <w:spacing w:after="0"/>
              <w:rPr>
                <w:sz w:val="16"/>
                <w:szCs w:val="16"/>
                <w:color w:val="auto"/>
              </w:rPr>
            </w:pPr>
          </w:p>
        </w:tc>
        <w:tc>
          <w:tcPr>
            <w:tcW w:w="920" w:type="dxa"/>
            <w:vAlign w:val="bottom"/>
            <w:tcBorders>
              <w:bottom w:val="single" w:sz="8" w:color="FF4400"/>
            </w:tcBorders>
          </w:tcPr>
          <w:p>
            <w:pPr>
              <w:jc w:val="center"/>
              <w:ind w:right="172"/>
              <w:spacing w:after="0"/>
              <w:rPr>
                <w:sz w:val="20"/>
                <w:szCs w:val="20"/>
                <w:color w:val="auto"/>
              </w:rPr>
            </w:pPr>
            <w:r>
              <w:rPr>
                <w:rFonts w:ascii="Arial" w:cs="Arial" w:eastAsia="Arial" w:hAnsi="Arial"/>
                <w:sz w:val="14"/>
                <w:szCs w:val="14"/>
                <w:b w:val="1"/>
                <w:bCs w:val="1"/>
                <w:color w:val="auto"/>
              </w:rPr>
              <w:t>Loss</w:t>
            </w:r>
          </w:p>
        </w:tc>
        <w:tc>
          <w:tcPr>
            <w:tcW w:w="220" w:type="dxa"/>
            <w:vAlign w:val="bottom"/>
            <w:tcBorders>
              <w:bottom w:val="single" w:sz="8" w:color="FF4400"/>
            </w:tcBorders>
          </w:tcPr>
          <w:p>
            <w:pPr>
              <w:spacing w:after="0"/>
              <w:rPr>
                <w:sz w:val="16"/>
                <w:szCs w:val="16"/>
                <w:color w:val="auto"/>
              </w:rPr>
            </w:pPr>
          </w:p>
        </w:tc>
        <w:tc>
          <w:tcPr>
            <w:tcW w:w="940" w:type="dxa"/>
            <w:vAlign w:val="bottom"/>
            <w:tcBorders>
              <w:bottom w:val="single" w:sz="8" w:color="FF4400"/>
            </w:tcBorders>
          </w:tcPr>
          <w:p>
            <w:pPr>
              <w:jc w:val="right"/>
              <w:ind w:right="191"/>
              <w:spacing w:after="0"/>
              <w:rPr>
                <w:sz w:val="20"/>
                <w:szCs w:val="20"/>
                <w:color w:val="auto"/>
              </w:rPr>
            </w:pPr>
            <w:r>
              <w:rPr>
                <w:rFonts w:ascii="Arial" w:cs="Arial" w:eastAsia="Arial" w:hAnsi="Arial"/>
                <w:sz w:val="14"/>
                <w:szCs w:val="14"/>
                <w:b w:val="1"/>
                <w:bCs w:val="1"/>
                <w:color w:val="auto"/>
              </w:rPr>
              <w:t>Interests</w:t>
            </w:r>
          </w:p>
        </w:tc>
        <w:tc>
          <w:tcPr>
            <w:tcW w:w="220" w:type="dxa"/>
            <w:vAlign w:val="bottom"/>
            <w:tcBorders>
              <w:bottom w:val="single" w:sz="8" w:color="FF4400"/>
            </w:tcBorders>
          </w:tcPr>
          <w:p>
            <w:pPr>
              <w:spacing w:after="0"/>
              <w:rPr>
                <w:sz w:val="16"/>
                <w:szCs w:val="16"/>
                <w:color w:val="auto"/>
              </w:rPr>
            </w:pPr>
          </w:p>
        </w:tc>
        <w:tc>
          <w:tcPr>
            <w:tcW w:w="800" w:type="dxa"/>
            <w:vAlign w:val="bottom"/>
            <w:tcBorders>
              <w:bottom w:val="single" w:sz="8" w:color="FF4400"/>
            </w:tcBorders>
          </w:tcPr>
          <w:p>
            <w:pPr>
              <w:jc w:val="right"/>
              <w:ind w:right="13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Balance as of December 31,</w:t>
            </w: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9,048</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(312)</w:t>
            </w:r>
          </w:p>
        </w:tc>
        <w:tc>
          <w:tcPr>
            <w:tcW w:w="2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92</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8,828</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384348"/>
            </w:tcBorders>
          </w:tcPr>
          <w:p>
            <w:pPr>
              <w:ind w:left="180"/>
              <w:spacing w:after="0"/>
              <w:rPr>
                <w:sz w:val="20"/>
                <w:szCs w:val="20"/>
                <w:color w:val="auto"/>
              </w:rPr>
            </w:pPr>
            <w:r>
              <w:rPr>
                <w:rFonts w:ascii="Arial" w:cs="Arial" w:eastAsia="Arial" w:hAnsi="Arial"/>
                <w:sz w:val="18"/>
                <w:szCs w:val="18"/>
                <w:b w:val="1"/>
                <w:bCs w:val="1"/>
                <w:color w:val="auto"/>
              </w:rPr>
              <w:t>2024</w:t>
            </w:r>
          </w:p>
        </w:tc>
        <w:tc>
          <w:tcPr>
            <w:tcW w:w="94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7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8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8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860" w:type="dxa"/>
            <w:vAlign w:val="bottom"/>
            <w:tcBorders>
              <w:bottom w:val="single" w:sz="8" w:color="384348"/>
            </w:tcBorders>
            <w:vMerge w:val="continue"/>
          </w:tcPr>
          <w:p>
            <w:pPr>
              <w:spacing w:after="0"/>
              <w:rPr>
                <w:sz w:val="21"/>
                <w:szCs w:val="21"/>
                <w:color w:val="auto"/>
              </w:rPr>
            </w:pPr>
          </w:p>
        </w:tc>
        <w:tc>
          <w:tcPr>
            <w:tcW w:w="280" w:type="dxa"/>
            <w:vAlign w:val="bottom"/>
            <w:tcBorders>
              <w:bottom w:val="single" w:sz="8" w:color="384348"/>
            </w:tcBorders>
            <w:vMerge w:val="continue"/>
          </w:tcPr>
          <w:p>
            <w:pPr>
              <w:spacing w:after="0"/>
              <w:rPr>
                <w:sz w:val="21"/>
                <w:szCs w:val="21"/>
                <w:color w:val="auto"/>
              </w:rPr>
            </w:pPr>
          </w:p>
        </w:tc>
        <w:tc>
          <w:tcPr>
            <w:tcW w:w="92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94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800" w:type="dxa"/>
            <w:vAlign w:val="bottom"/>
            <w:tcBorders>
              <w:bottom w:val="single" w:sz="8" w:color="384348"/>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80" w:type="dxa"/>
            <w:vAlign w:val="bottom"/>
            <w:tcBorders>
              <w:bottom w:val="single" w:sz="8" w:color="BFBFBF"/>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8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2,265</w:t>
            </w:r>
          </w:p>
        </w:tc>
        <w:tc>
          <w:tcPr>
            <w:tcW w:w="20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94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BFBFBF"/>
            </w:tcBorders>
          </w:tcPr>
          <w:p>
            <w:pPr>
              <w:spacing w:after="0"/>
              <w:rPr>
                <w:sz w:val="19"/>
                <w:szCs w:val="19"/>
                <w:color w:val="auto"/>
              </w:rPr>
            </w:pPr>
          </w:p>
        </w:tc>
        <w:tc>
          <w:tcPr>
            <w:tcW w:w="8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Other comprehensive income</w:t>
            </w:r>
          </w:p>
        </w:tc>
        <w:tc>
          <w:tcPr>
            <w:tcW w:w="94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80" w:type="dxa"/>
            <w:vAlign w:val="bottom"/>
            <w:tcBorders>
              <w:bottom w:val="single" w:sz="8" w:color="BFBFBF"/>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8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BFBFBF"/>
            </w:tcBorders>
          </w:tcPr>
          <w:p>
            <w:pPr>
              <w:spacing w:after="0"/>
              <w:rPr>
                <w:sz w:val="19"/>
                <w:szCs w:val="19"/>
                <w:color w:val="auto"/>
              </w:rPr>
            </w:pPr>
          </w:p>
        </w:tc>
        <w:tc>
          <w:tcPr>
            <w:tcW w:w="94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8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line="169" w:lineRule="exact"/>
              <w:rPr>
                <w:sz w:val="20"/>
                <w:szCs w:val="20"/>
                <w:color w:val="auto"/>
              </w:rPr>
            </w:pPr>
            <w:r>
              <w:rPr>
                <w:rFonts w:ascii="Arial" w:cs="Arial" w:eastAsia="Arial" w:hAnsi="Arial"/>
                <w:sz w:val="18"/>
                <w:szCs w:val="18"/>
                <w:color w:val="auto"/>
              </w:rPr>
              <w:t>Dividends to noncontrolling</w:t>
            </w: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auto"/>
              </w:rPr>
              <w:t>interests</w:t>
            </w:r>
          </w:p>
        </w:tc>
        <w:tc>
          <w:tcPr>
            <w:tcW w:w="940" w:type="dxa"/>
            <w:vAlign w:val="bottom"/>
            <w:tcBorders>
              <w:bottom w:val="single" w:sz="8" w:color="BFBFBF"/>
            </w:tcBorders>
            <w:vMerge w:val="continue"/>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780" w:type="dxa"/>
            <w:vAlign w:val="bottom"/>
            <w:tcBorders>
              <w:bottom w:val="single" w:sz="8" w:color="BFBFBF"/>
            </w:tcBorders>
            <w:vMerge w:val="continue"/>
          </w:tcPr>
          <w:p>
            <w:pPr>
              <w:spacing w:after="0"/>
              <w:rPr>
                <w:sz w:val="21"/>
                <w:szCs w:val="21"/>
                <w:color w:val="auto"/>
              </w:rPr>
            </w:pPr>
          </w:p>
        </w:tc>
        <w:tc>
          <w:tcPr>
            <w:tcW w:w="200" w:type="dxa"/>
            <w:vAlign w:val="bottom"/>
            <w:tcBorders>
              <w:bottom w:val="single" w:sz="8" w:color="BFBFBF"/>
            </w:tcBorders>
          </w:tcPr>
          <w:p>
            <w:pPr>
              <w:spacing w:after="0"/>
              <w:rPr>
                <w:sz w:val="21"/>
                <w:szCs w:val="21"/>
                <w:color w:val="auto"/>
              </w:rPr>
            </w:pPr>
          </w:p>
        </w:tc>
        <w:tc>
          <w:tcPr>
            <w:tcW w:w="880" w:type="dxa"/>
            <w:vAlign w:val="bottom"/>
            <w:tcBorders>
              <w:bottom w:val="single" w:sz="8" w:color="BFBFBF"/>
            </w:tcBorders>
            <w:vMerge w:val="continue"/>
          </w:tcPr>
          <w:p>
            <w:pPr>
              <w:spacing w:after="0"/>
              <w:rPr>
                <w:sz w:val="21"/>
                <w:szCs w:val="21"/>
                <w:color w:val="auto"/>
              </w:rPr>
            </w:pPr>
          </w:p>
        </w:tc>
        <w:tc>
          <w:tcPr>
            <w:tcW w:w="200" w:type="dxa"/>
            <w:vAlign w:val="bottom"/>
            <w:tcBorders>
              <w:bottom w:val="single" w:sz="8" w:color="BFBFBF"/>
            </w:tcBorders>
          </w:tcPr>
          <w:p>
            <w:pPr>
              <w:spacing w:after="0"/>
              <w:rPr>
                <w:sz w:val="21"/>
                <w:szCs w:val="21"/>
                <w:color w:val="auto"/>
              </w:rPr>
            </w:pPr>
          </w:p>
        </w:tc>
        <w:tc>
          <w:tcPr>
            <w:tcW w:w="880" w:type="dxa"/>
            <w:vAlign w:val="bottom"/>
            <w:tcBorders>
              <w:bottom w:val="single" w:sz="8" w:color="BFBFBF"/>
            </w:tcBorders>
            <w:vMerge w:val="continue"/>
          </w:tcPr>
          <w:p>
            <w:pPr>
              <w:spacing w:after="0"/>
              <w:rPr>
                <w:sz w:val="21"/>
                <w:szCs w:val="21"/>
                <w:color w:val="auto"/>
              </w:rPr>
            </w:pPr>
          </w:p>
        </w:tc>
        <w:tc>
          <w:tcPr>
            <w:tcW w:w="200" w:type="dxa"/>
            <w:vAlign w:val="bottom"/>
            <w:tcBorders>
              <w:bottom w:val="single" w:sz="8" w:color="BFBFBF"/>
            </w:tcBorders>
          </w:tcPr>
          <w:p>
            <w:pPr>
              <w:spacing w:after="0"/>
              <w:rPr>
                <w:sz w:val="21"/>
                <w:szCs w:val="21"/>
                <w:color w:val="auto"/>
              </w:rPr>
            </w:pPr>
          </w:p>
        </w:tc>
        <w:tc>
          <w:tcPr>
            <w:tcW w:w="860" w:type="dxa"/>
            <w:vAlign w:val="bottom"/>
            <w:tcBorders>
              <w:bottom w:val="single" w:sz="8" w:color="BFBFBF"/>
            </w:tcBorders>
            <w:vMerge w:val="continue"/>
          </w:tcPr>
          <w:p>
            <w:pPr>
              <w:spacing w:after="0"/>
              <w:rPr>
                <w:sz w:val="21"/>
                <w:szCs w:val="21"/>
                <w:color w:val="auto"/>
              </w:rPr>
            </w:pPr>
          </w:p>
        </w:tc>
        <w:tc>
          <w:tcPr>
            <w:tcW w:w="280" w:type="dxa"/>
            <w:vAlign w:val="bottom"/>
            <w:tcBorders>
              <w:bottom w:val="single" w:sz="8" w:color="BFBFBF"/>
            </w:tcBorders>
          </w:tcPr>
          <w:p>
            <w:pPr>
              <w:spacing w:after="0"/>
              <w:rPr>
                <w:sz w:val="21"/>
                <w:szCs w:val="21"/>
                <w:color w:val="auto"/>
              </w:rPr>
            </w:pPr>
          </w:p>
        </w:tc>
        <w:tc>
          <w:tcPr>
            <w:tcW w:w="920" w:type="dxa"/>
            <w:vAlign w:val="bottom"/>
            <w:tcBorders>
              <w:bottom w:val="single" w:sz="8" w:color="BFBFBF"/>
            </w:tcBorders>
            <w:vMerge w:val="continue"/>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940" w:type="dxa"/>
            <w:vAlign w:val="bottom"/>
            <w:tcBorders>
              <w:bottom w:val="single" w:sz="8" w:color="BFBFBF"/>
            </w:tcBorders>
            <w:vMerge w:val="continue"/>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800" w:type="dxa"/>
            <w:vAlign w:val="bottom"/>
            <w:tcBorders>
              <w:bottom w:val="single" w:sz="8" w:color="BFBFB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Net transfers to Parent</w:t>
            </w:r>
          </w:p>
        </w:tc>
        <w:tc>
          <w:tcPr>
            <w:tcW w:w="940" w:type="dxa"/>
            <w:vAlign w:val="bottom"/>
            <w:tcBorders>
              <w:bottom w:val="single" w:sz="8" w:color="384348"/>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384348"/>
            </w:tcBorders>
          </w:tcPr>
          <w:p>
            <w:pPr>
              <w:spacing w:after="0"/>
              <w:rPr>
                <w:sz w:val="19"/>
                <w:szCs w:val="19"/>
                <w:color w:val="auto"/>
              </w:rPr>
            </w:pPr>
          </w:p>
        </w:tc>
        <w:tc>
          <w:tcPr>
            <w:tcW w:w="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384348"/>
            </w:tcBorders>
          </w:tcPr>
          <w:p>
            <w:pPr>
              <w:spacing w:after="0"/>
              <w:rPr>
                <w:sz w:val="19"/>
                <w:szCs w:val="19"/>
                <w:color w:val="auto"/>
              </w:rPr>
            </w:pPr>
          </w:p>
        </w:tc>
        <w:tc>
          <w:tcPr>
            <w:tcW w:w="880" w:type="dxa"/>
            <w:vAlign w:val="bottom"/>
            <w:tcBorders>
              <w:bottom w:val="single" w:sz="8" w:color="384348"/>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384348"/>
            </w:tcBorders>
          </w:tcPr>
          <w:p>
            <w:pPr>
              <w:spacing w:after="0"/>
              <w:rPr>
                <w:sz w:val="19"/>
                <w:szCs w:val="19"/>
                <w:color w:val="auto"/>
              </w:rPr>
            </w:pPr>
          </w:p>
        </w:tc>
        <w:tc>
          <w:tcPr>
            <w:tcW w:w="8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(1,166)</w:t>
            </w:r>
          </w:p>
        </w:tc>
        <w:tc>
          <w:tcPr>
            <w:tcW w:w="200" w:type="dxa"/>
            <w:vAlign w:val="bottom"/>
            <w:tcBorders>
              <w:bottom w:val="single" w:sz="8" w:color="384348"/>
            </w:tcBorders>
          </w:tcPr>
          <w:p>
            <w:pPr>
              <w:spacing w:after="0"/>
              <w:rPr>
                <w:sz w:val="19"/>
                <w:szCs w:val="19"/>
                <w:color w:val="auto"/>
              </w:rPr>
            </w:pPr>
          </w:p>
        </w:tc>
        <w:tc>
          <w:tcPr>
            <w:tcW w:w="86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384348"/>
            </w:tcBorders>
          </w:tcPr>
          <w:p>
            <w:pPr>
              <w:spacing w:after="0"/>
              <w:rPr>
                <w:sz w:val="19"/>
                <w:szCs w:val="19"/>
                <w:color w:val="auto"/>
              </w:rPr>
            </w:pPr>
          </w:p>
        </w:tc>
        <w:tc>
          <w:tcPr>
            <w:tcW w:w="9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384348"/>
            </w:tcBorders>
          </w:tcPr>
          <w:p>
            <w:pPr>
              <w:spacing w:after="0"/>
              <w:rPr>
                <w:sz w:val="19"/>
                <w:szCs w:val="19"/>
                <w:color w:val="auto"/>
              </w:rPr>
            </w:pPr>
          </w:p>
        </w:tc>
        <w:tc>
          <w:tcPr>
            <w:tcW w:w="940" w:type="dxa"/>
            <w:vAlign w:val="bottom"/>
            <w:tcBorders>
              <w:bottom w:val="single" w:sz="8" w:color="384348"/>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384348"/>
            </w:tcBorders>
          </w:tcPr>
          <w:p>
            <w:pPr>
              <w:spacing w:after="0"/>
              <w:rPr>
                <w:sz w:val="19"/>
                <w:szCs w:val="19"/>
                <w:color w:val="auto"/>
              </w:rPr>
            </w:pPr>
          </w:p>
        </w:tc>
        <w:tc>
          <w:tcPr>
            <w:tcW w:w="8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Balance as of September 27,</w:t>
            </w: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10,147</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(227)</w:t>
            </w:r>
          </w:p>
        </w:tc>
        <w:tc>
          <w:tcPr>
            <w:tcW w:w="2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97</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10,017</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384348"/>
            </w:tcBorders>
          </w:tcPr>
          <w:p>
            <w:pPr>
              <w:ind w:left="180"/>
              <w:spacing w:after="0"/>
              <w:rPr>
                <w:sz w:val="20"/>
                <w:szCs w:val="20"/>
                <w:color w:val="auto"/>
              </w:rPr>
            </w:pPr>
            <w:r>
              <w:rPr>
                <w:rFonts w:ascii="Arial" w:cs="Arial" w:eastAsia="Arial" w:hAnsi="Arial"/>
                <w:sz w:val="18"/>
                <w:szCs w:val="18"/>
                <w:b w:val="1"/>
                <w:bCs w:val="1"/>
                <w:color w:val="auto"/>
              </w:rPr>
              <w:t>2025</w:t>
            </w:r>
          </w:p>
        </w:tc>
        <w:tc>
          <w:tcPr>
            <w:tcW w:w="94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7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8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8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860" w:type="dxa"/>
            <w:vAlign w:val="bottom"/>
            <w:tcBorders>
              <w:bottom w:val="single" w:sz="8" w:color="384348"/>
            </w:tcBorders>
            <w:vMerge w:val="continue"/>
          </w:tcPr>
          <w:p>
            <w:pPr>
              <w:spacing w:after="0"/>
              <w:rPr>
                <w:sz w:val="21"/>
                <w:szCs w:val="21"/>
                <w:color w:val="auto"/>
              </w:rPr>
            </w:pPr>
          </w:p>
        </w:tc>
        <w:tc>
          <w:tcPr>
            <w:tcW w:w="280" w:type="dxa"/>
            <w:vAlign w:val="bottom"/>
            <w:tcBorders>
              <w:bottom w:val="single" w:sz="8" w:color="384348"/>
            </w:tcBorders>
            <w:vMerge w:val="continue"/>
          </w:tcPr>
          <w:p>
            <w:pPr>
              <w:spacing w:after="0"/>
              <w:rPr>
                <w:sz w:val="21"/>
                <w:szCs w:val="21"/>
                <w:color w:val="auto"/>
              </w:rPr>
            </w:pPr>
          </w:p>
        </w:tc>
        <w:tc>
          <w:tcPr>
            <w:tcW w:w="92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94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800" w:type="dxa"/>
            <w:vAlign w:val="bottom"/>
            <w:tcBorders>
              <w:bottom w:val="single" w:sz="8" w:color="384348"/>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tcBorders>
              <w:bottom w:val="single" w:sz="8" w:color="384348"/>
            </w:tcBorders>
          </w:tcPr>
          <w:p>
            <w:pPr>
              <w:spacing w:after="0"/>
              <w:rPr>
                <w:sz w:val="20"/>
                <w:szCs w:val="20"/>
                <w:color w:val="auto"/>
              </w:rPr>
            </w:pPr>
          </w:p>
        </w:tc>
        <w:tc>
          <w:tcPr>
            <w:tcW w:w="940" w:type="dxa"/>
            <w:vAlign w:val="bottom"/>
            <w:tcBorders>
              <w:bottom w:val="single" w:sz="8" w:color="384348"/>
            </w:tcBorders>
          </w:tcPr>
          <w:p>
            <w:pPr>
              <w:spacing w:after="0"/>
              <w:rPr>
                <w:sz w:val="20"/>
                <w:szCs w:val="20"/>
                <w:color w:val="auto"/>
              </w:rPr>
            </w:pPr>
          </w:p>
        </w:tc>
        <w:tc>
          <w:tcPr>
            <w:tcW w:w="220" w:type="dxa"/>
            <w:vAlign w:val="bottom"/>
            <w:tcBorders>
              <w:bottom w:val="single" w:sz="8" w:color="384348"/>
            </w:tcBorders>
          </w:tcPr>
          <w:p>
            <w:pPr>
              <w:spacing w:after="0"/>
              <w:rPr>
                <w:sz w:val="20"/>
                <w:szCs w:val="20"/>
                <w:color w:val="auto"/>
              </w:rPr>
            </w:pPr>
          </w:p>
        </w:tc>
        <w:tc>
          <w:tcPr>
            <w:tcW w:w="780" w:type="dxa"/>
            <w:vAlign w:val="bottom"/>
            <w:tcBorders>
              <w:bottom w:val="single" w:sz="8" w:color="384348"/>
            </w:tcBorders>
          </w:tcPr>
          <w:p>
            <w:pPr>
              <w:spacing w:after="0"/>
              <w:rPr>
                <w:sz w:val="20"/>
                <w:szCs w:val="20"/>
                <w:color w:val="auto"/>
              </w:rPr>
            </w:pPr>
          </w:p>
        </w:tc>
        <w:tc>
          <w:tcPr>
            <w:tcW w:w="200" w:type="dxa"/>
            <w:vAlign w:val="bottom"/>
            <w:tcBorders>
              <w:bottom w:val="single" w:sz="8" w:color="384348"/>
            </w:tcBorders>
          </w:tcPr>
          <w:p>
            <w:pPr>
              <w:spacing w:after="0"/>
              <w:rPr>
                <w:sz w:val="20"/>
                <w:szCs w:val="20"/>
                <w:color w:val="auto"/>
              </w:rPr>
            </w:pPr>
          </w:p>
        </w:tc>
        <w:tc>
          <w:tcPr>
            <w:tcW w:w="880" w:type="dxa"/>
            <w:vAlign w:val="bottom"/>
            <w:tcBorders>
              <w:bottom w:val="single" w:sz="8" w:color="384348"/>
            </w:tcBorders>
          </w:tcPr>
          <w:p>
            <w:pPr>
              <w:spacing w:after="0"/>
              <w:rPr>
                <w:sz w:val="20"/>
                <w:szCs w:val="20"/>
                <w:color w:val="auto"/>
              </w:rPr>
            </w:pPr>
          </w:p>
        </w:tc>
        <w:tc>
          <w:tcPr>
            <w:tcW w:w="200" w:type="dxa"/>
            <w:vAlign w:val="bottom"/>
            <w:tcBorders>
              <w:bottom w:val="single" w:sz="8" w:color="384348"/>
            </w:tcBorders>
          </w:tcPr>
          <w:p>
            <w:pPr>
              <w:spacing w:after="0"/>
              <w:rPr>
                <w:sz w:val="20"/>
                <w:szCs w:val="20"/>
                <w:color w:val="auto"/>
              </w:rPr>
            </w:pPr>
          </w:p>
        </w:tc>
        <w:tc>
          <w:tcPr>
            <w:tcW w:w="880" w:type="dxa"/>
            <w:vAlign w:val="bottom"/>
            <w:tcBorders>
              <w:bottom w:val="single" w:sz="8" w:color="384348"/>
            </w:tcBorders>
          </w:tcPr>
          <w:p>
            <w:pPr>
              <w:spacing w:after="0"/>
              <w:rPr>
                <w:sz w:val="20"/>
                <w:szCs w:val="20"/>
                <w:color w:val="auto"/>
              </w:rPr>
            </w:pPr>
          </w:p>
        </w:tc>
        <w:tc>
          <w:tcPr>
            <w:tcW w:w="200" w:type="dxa"/>
            <w:vAlign w:val="bottom"/>
            <w:tcBorders>
              <w:bottom w:val="single" w:sz="8" w:color="384348"/>
            </w:tcBorders>
          </w:tcPr>
          <w:p>
            <w:pPr>
              <w:spacing w:after="0"/>
              <w:rPr>
                <w:sz w:val="20"/>
                <w:szCs w:val="20"/>
                <w:color w:val="auto"/>
              </w:rPr>
            </w:pPr>
          </w:p>
        </w:tc>
        <w:tc>
          <w:tcPr>
            <w:tcW w:w="860" w:type="dxa"/>
            <w:vAlign w:val="bottom"/>
            <w:tcBorders>
              <w:bottom w:val="single" w:sz="8" w:color="384348"/>
            </w:tcBorders>
          </w:tcPr>
          <w:p>
            <w:pPr>
              <w:spacing w:after="0"/>
              <w:rPr>
                <w:sz w:val="20"/>
                <w:szCs w:val="20"/>
                <w:color w:val="auto"/>
              </w:rPr>
            </w:pPr>
          </w:p>
        </w:tc>
        <w:tc>
          <w:tcPr>
            <w:tcW w:w="280" w:type="dxa"/>
            <w:vAlign w:val="bottom"/>
            <w:tcBorders>
              <w:bottom w:val="single" w:sz="8" w:color="384348"/>
            </w:tcBorders>
          </w:tcPr>
          <w:p>
            <w:pPr>
              <w:spacing w:after="0"/>
              <w:rPr>
                <w:sz w:val="20"/>
                <w:szCs w:val="20"/>
                <w:color w:val="auto"/>
              </w:rPr>
            </w:pPr>
          </w:p>
        </w:tc>
        <w:tc>
          <w:tcPr>
            <w:tcW w:w="920" w:type="dxa"/>
            <w:vAlign w:val="bottom"/>
            <w:tcBorders>
              <w:bottom w:val="single" w:sz="8" w:color="384348"/>
            </w:tcBorders>
          </w:tcPr>
          <w:p>
            <w:pPr>
              <w:spacing w:after="0"/>
              <w:rPr>
                <w:sz w:val="20"/>
                <w:szCs w:val="20"/>
                <w:color w:val="auto"/>
              </w:rPr>
            </w:pPr>
          </w:p>
        </w:tc>
        <w:tc>
          <w:tcPr>
            <w:tcW w:w="220" w:type="dxa"/>
            <w:vAlign w:val="bottom"/>
            <w:tcBorders>
              <w:bottom w:val="single" w:sz="8" w:color="384348"/>
            </w:tcBorders>
          </w:tcPr>
          <w:p>
            <w:pPr>
              <w:spacing w:after="0"/>
              <w:rPr>
                <w:sz w:val="20"/>
                <w:szCs w:val="20"/>
                <w:color w:val="auto"/>
              </w:rPr>
            </w:pPr>
          </w:p>
        </w:tc>
        <w:tc>
          <w:tcPr>
            <w:tcW w:w="940" w:type="dxa"/>
            <w:vAlign w:val="bottom"/>
            <w:tcBorders>
              <w:bottom w:val="single" w:sz="8" w:color="384348"/>
            </w:tcBorders>
          </w:tcPr>
          <w:p>
            <w:pPr>
              <w:spacing w:after="0"/>
              <w:rPr>
                <w:sz w:val="20"/>
                <w:szCs w:val="20"/>
                <w:color w:val="auto"/>
              </w:rPr>
            </w:pPr>
          </w:p>
        </w:tc>
        <w:tc>
          <w:tcPr>
            <w:tcW w:w="220" w:type="dxa"/>
            <w:vAlign w:val="bottom"/>
            <w:tcBorders>
              <w:bottom w:val="single" w:sz="8" w:color="384348"/>
            </w:tcBorders>
          </w:tcPr>
          <w:p>
            <w:pPr>
              <w:spacing w:after="0"/>
              <w:rPr>
                <w:sz w:val="20"/>
                <w:szCs w:val="20"/>
                <w:color w:val="auto"/>
              </w:rPr>
            </w:pPr>
          </w:p>
        </w:tc>
        <w:tc>
          <w:tcPr>
            <w:tcW w:w="800" w:type="dxa"/>
            <w:vAlign w:val="bottom"/>
            <w:tcBorders>
              <w:bottom w:val="single" w:sz="8" w:color="384348"/>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Balance as of December 31,</w:t>
            </w: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8,609</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97</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8,496</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384348"/>
            </w:tcBorders>
          </w:tcPr>
          <w:p>
            <w:pPr>
              <w:ind w:left="180"/>
              <w:spacing w:after="0"/>
              <w:rPr>
                <w:sz w:val="20"/>
                <w:szCs w:val="20"/>
                <w:color w:val="auto"/>
              </w:rPr>
            </w:pPr>
            <w:r>
              <w:rPr>
                <w:rFonts w:ascii="Arial" w:cs="Arial" w:eastAsia="Arial" w:hAnsi="Arial"/>
                <w:sz w:val="18"/>
                <w:szCs w:val="18"/>
                <w:b w:val="1"/>
                <w:bCs w:val="1"/>
                <w:color w:val="auto"/>
              </w:rPr>
              <w:t>2025</w:t>
            </w:r>
          </w:p>
        </w:tc>
        <w:tc>
          <w:tcPr>
            <w:tcW w:w="94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7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8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8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860" w:type="dxa"/>
            <w:vAlign w:val="bottom"/>
            <w:tcBorders>
              <w:bottom w:val="single" w:sz="8" w:color="384348"/>
            </w:tcBorders>
            <w:vMerge w:val="continue"/>
          </w:tcPr>
          <w:p>
            <w:pPr>
              <w:spacing w:after="0"/>
              <w:rPr>
                <w:sz w:val="21"/>
                <w:szCs w:val="21"/>
                <w:color w:val="auto"/>
              </w:rPr>
            </w:pPr>
          </w:p>
        </w:tc>
        <w:tc>
          <w:tcPr>
            <w:tcW w:w="280" w:type="dxa"/>
            <w:vAlign w:val="bottom"/>
            <w:tcBorders>
              <w:bottom w:val="single" w:sz="8" w:color="384348"/>
            </w:tcBorders>
            <w:vMerge w:val="continue"/>
          </w:tcPr>
          <w:p>
            <w:pPr>
              <w:spacing w:after="0"/>
              <w:rPr>
                <w:sz w:val="21"/>
                <w:szCs w:val="21"/>
                <w:color w:val="auto"/>
              </w:rPr>
            </w:pPr>
          </w:p>
        </w:tc>
        <w:tc>
          <w:tcPr>
            <w:tcW w:w="92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94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800" w:type="dxa"/>
            <w:vAlign w:val="bottom"/>
            <w:tcBorders>
              <w:bottom w:val="single" w:sz="8" w:color="384348"/>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80" w:type="dxa"/>
            <w:vAlign w:val="bottom"/>
            <w:tcBorders>
              <w:bottom w:val="single" w:sz="8" w:color="BFBFBF"/>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8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880</w:t>
            </w:r>
          </w:p>
        </w:tc>
        <w:tc>
          <w:tcPr>
            <w:tcW w:w="20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726</w:t>
            </w:r>
          </w:p>
        </w:tc>
        <w:tc>
          <w:tcPr>
            <w:tcW w:w="28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94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BFBFBF"/>
            </w:tcBorders>
          </w:tcPr>
          <w:p>
            <w:pPr>
              <w:spacing w:after="0"/>
              <w:rPr>
                <w:sz w:val="19"/>
                <w:szCs w:val="19"/>
                <w:color w:val="auto"/>
              </w:rPr>
            </w:pPr>
          </w:p>
        </w:tc>
        <w:tc>
          <w:tcPr>
            <w:tcW w:w="8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transfers to Parent</w:t>
            </w:r>
          </w:p>
        </w:tc>
        <w:tc>
          <w:tcPr>
            <w:tcW w:w="94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80" w:type="dxa"/>
            <w:vAlign w:val="bottom"/>
            <w:tcBorders>
              <w:bottom w:val="single" w:sz="8" w:color="BFBFBF"/>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(12,016)</w:t>
            </w:r>
          </w:p>
        </w:tc>
        <w:tc>
          <w:tcPr>
            <w:tcW w:w="20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Borders>
              <w:bottom w:val="single" w:sz="8" w:color="BFBFBF"/>
            </w:tcBorders>
          </w:tcPr>
          <w:p>
            <w:pPr>
              <w:spacing w:after="0"/>
              <w:rPr>
                <w:sz w:val="19"/>
                <w:szCs w:val="19"/>
                <w:color w:val="auto"/>
              </w:rPr>
            </w:pPr>
          </w:p>
        </w:tc>
        <w:tc>
          <w:tcPr>
            <w:tcW w:w="94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8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(12,595)</w:t>
            </w: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line="169" w:lineRule="exact"/>
              <w:rPr>
                <w:sz w:val="20"/>
                <w:szCs w:val="20"/>
                <w:color w:val="auto"/>
              </w:rPr>
            </w:pPr>
            <w:r>
              <w:rPr>
                <w:rFonts w:ascii="Arial" w:cs="Arial" w:eastAsia="Arial" w:hAnsi="Arial"/>
                <w:sz w:val="18"/>
                <w:szCs w:val="18"/>
                <w:color w:val="auto"/>
              </w:rPr>
              <w:t>Issuance of common stock in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00" w:type="dxa"/>
            <w:vAlign w:val="bottom"/>
          </w:tcPr>
          <w:p>
            <w:pPr>
              <w:ind w:left="180"/>
              <w:spacing w:after="0" w:line="183" w:lineRule="exact"/>
              <w:rPr>
                <w:sz w:val="20"/>
                <w:szCs w:val="20"/>
                <w:color w:val="auto"/>
              </w:rPr>
            </w:pPr>
            <w:r>
              <w:rPr>
                <w:rFonts w:ascii="Arial" w:cs="Arial" w:eastAsia="Arial" w:hAnsi="Arial"/>
                <w:sz w:val="18"/>
                <w:szCs w:val="18"/>
                <w:color w:val="auto"/>
              </w:rPr>
              <w:t>connection with Spin-off and</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180"/>
              <w:spacing w:after="0" w:line="181" w:lineRule="exact"/>
              <w:rPr>
                <w:sz w:val="20"/>
                <w:szCs w:val="20"/>
                <w:color w:val="auto"/>
              </w:rPr>
            </w:pPr>
            <w:r>
              <w:rPr>
                <w:rFonts w:ascii="Arial" w:cs="Arial" w:eastAsia="Arial" w:hAnsi="Arial"/>
                <w:sz w:val="18"/>
                <w:szCs w:val="18"/>
                <w:color w:val="auto"/>
              </w:rPr>
              <w:t>reclassification of Net Parent</w:t>
            </w: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color w:val="auto"/>
              </w:rPr>
              <w:t>316.9</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5"/>
                <w:szCs w:val="15"/>
                <w:color w:val="auto"/>
              </w:rPr>
            </w:pP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2,527</w:t>
            </w: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(2,530)</w:t>
            </w:r>
          </w:p>
        </w:tc>
        <w:tc>
          <w:tcPr>
            <w:tcW w:w="280" w:type="dxa"/>
            <w:vAlign w:val="bottom"/>
          </w:tcPr>
          <w:p>
            <w:pPr>
              <w:spacing w:after="0"/>
              <w:rPr>
                <w:sz w:val="15"/>
                <w:szCs w:val="15"/>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auto"/>
              </w:rPr>
              <w:t>investment</w:t>
            </w:r>
          </w:p>
        </w:tc>
        <w:tc>
          <w:tcPr>
            <w:tcW w:w="940" w:type="dxa"/>
            <w:vAlign w:val="bottom"/>
            <w:tcBorders>
              <w:bottom w:val="single" w:sz="8" w:color="BFBFBF"/>
            </w:tcBorders>
            <w:vMerge w:val="continue"/>
          </w:tcPr>
          <w:p>
            <w:pPr>
              <w:spacing w:after="0"/>
              <w:rPr>
                <w:sz w:val="19"/>
                <w:szCs w:val="19"/>
                <w:color w:val="auto"/>
              </w:rPr>
            </w:pPr>
          </w:p>
        </w:tc>
        <w:tc>
          <w:tcPr>
            <w:tcW w:w="22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vMerge w:val="continue"/>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880" w:type="dxa"/>
            <w:vAlign w:val="bottom"/>
            <w:tcBorders>
              <w:bottom w:val="single" w:sz="8" w:color="BFBFBF"/>
            </w:tcBorders>
            <w:vMerge w:val="continue"/>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880" w:type="dxa"/>
            <w:vAlign w:val="bottom"/>
            <w:tcBorders>
              <w:bottom w:val="single" w:sz="8" w:color="BFBFBF"/>
            </w:tcBorders>
            <w:vMerge w:val="continue"/>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vMerge w:val="continue"/>
          </w:tcPr>
          <w:p>
            <w:pPr>
              <w:spacing w:after="0"/>
              <w:rPr>
                <w:sz w:val="19"/>
                <w:szCs w:val="19"/>
                <w:color w:val="auto"/>
              </w:rPr>
            </w:pPr>
          </w:p>
        </w:tc>
        <w:tc>
          <w:tcPr>
            <w:tcW w:w="28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vMerge w:val="continue"/>
          </w:tcPr>
          <w:p>
            <w:pPr>
              <w:spacing w:after="0"/>
              <w:rPr>
                <w:sz w:val="19"/>
                <w:szCs w:val="19"/>
                <w:color w:val="auto"/>
              </w:rPr>
            </w:pPr>
          </w:p>
        </w:tc>
        <w:tc>
          <w:tcPr>
            <w:tcW w:w="220" w:type="dxa"/>
            <w:vAlign w:val="bottom"/>
            <w:tcBorders>
              <w:bottom w:val="single" w:sz="8" w:color="BFBFBF"/>
            </w:tcBorders>
          </w:tcPr>
          <w:p>
            <w:pPr>
              <w:spacing w:after="0"/>
              <w:rPr>
                <w:sz w:val="19"/>
                <w:szCs w:val="19"/>
                <w:color w:val="auto"/>
              </w:rPr>
            </w:pPr>
          </w:p>
        </w:tc>
        <w:tc>
          <w:tcPr>
            <w:tcW w:w="940" w:type="dxa"/>
            <w:vAlign w:val="bottom"/>
            <w:tcBorders>
              <w:bottom w:val="single" w:sz="8" w:color="BFBFBF"/>
            </w:tcBorders>
            <w:vMerge w:val="continue"/>
          </w:tcPr>
          <w:p>
            <w:pPr>
              <w:spacing w:after="0"/>
              <w:rPr>
                <w:sz w:val="19"/>
                <w:szCs w:val="19"/>
                <w:color w:val="auto"/>
              </w:rPr>
            </w:pPr>
          </w:p>
        </w:tc>
        <w:tc>
          <w:tcPr>
            <w:tcW w:w="220" w:type="dxa"/>
            <w:vAlign w:val="bottom"/>
            <w:tcBorders>
              <w:bottom w:val="single" w:sz="8" w:color="BFBFBF"/>
            </w:tcBorders>
          </w:tcPr>
          <w:p>
            <w:pPr>
              <w:spacing w:after="0"/>
              <w:rPr>
                <w:sz w:val="19"/>
                <w:szCs w:val="19"/>
                <w:color w:val="auto"/>
              </w:rPr>
            </w:pPr>
          </w:p>
        </w:tc>
        <w:tc>
          <w:tcPr>
            <w:tcW w:w="800" w:type="dxa"/>
            <w:vAlign w:val="bottom"/>
            <w:tcBorders>
              <w:bottom w:val="single" w:sz="8" w:color="BFBFB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line="169" w:lineRule="exact"/>
              <w:rPr>
                <w:sz w:val="20"/>
                <w:szCs w:val="20"/>
                <w:color w:val="auto"/>
              </w:rPr>
            </w:pPr>
            <w:r>
              <w:rPr>
                <w:rFonts w:ascii="Arial" w:cs="Arial" w:eastAsia="Arial" w:hAnsi="Arial"/>
                <w:sz w:val="18"/>
                <w:szCs w:val="18"/>
                <w:color w:val="auto"/>
              </w:rPr>
              <w:t>Issuance of common stock in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00" w:type="dxa"/>
            <w:vAlign w:val="bottom"/>
          </w:tcPr>
          <w:p>
            <w:pPr>
              <w:ind w:left="180"/>
              <w:spacing w:after="0" w:line="183" w:lineRule="exact"/>
              <w:rPr>
                <w:sz w:val="20"/>
                <w:szCs w:val="20"/>
                <w:color w:val="auto"/>
              </w:rPr>
            </w:pPr>
            <w:r>
              <w:rPr>
                <w:rFonts w:ascii="Arial" w:cs="Arial" w:eastAsia="Arial" w:hAnsi="Arial"/>
                <w:sz w:val="18"/>
                <w:szCs w:val="18"/>
                <w:color w:val="auto"/>
              </w:rPr>
              <w:t>connection with employee</w:t>
            </w: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270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auto"/>
              </w:rPr>
              <w:t>stock plans</w:t>
            </w:r>
          </w:p>
        </w:tc>
        <w:tc>
          <w:tcPr>
            <w:tcW w:w="940" w:type="dxa"/>
            <w:vAlign w:val="bottom"/>
            <w:tcBorders>
              <w:bottom w:val="single" w:sz="8" w:color="BFBFBF"/>
            </w:tcBorders>
            <w:vMerge w:val="continue"/>
          </w:tcPr>
          <w:p>
            <w:pPr>
              <w:spacing w:after="0"/>
              <w:rPr>
                <w:sz w:val="20"/>
                <w:szCs w:val="20"/>
                <w:color w:val="auto"/>
              </w:rPr>
            </w:pPr>
          </w:p>
        </w:tc>
        <w:tc>
          <w:tcPr>
            <w:tcW w:w="220" w:type="dxa"/>
            <w:vAlign w:val="bottom"/>
            <w:tcBorders>
              <w:bottom w:val="single" w:sz="8" w:color="BFBFBF"/>
            </w:tcBorders>
          </w:tcPr>
          <w:p>
            <w:pPr>
              <w:spacing w:after="0"/>
              <w:rPr>
                <w:sz w:val="20"/>
                <w:szCs w:val="20"/>
                <w:color w:val="auto"/>
              </w:rPr>
            </w:pPr>
          </w:p>
        </w:tc>
        <w:tc>
          <w:tcPr>
            <w:tcW w:w="780" w:type="dxa"/>
            <w:vAlign w:val="bottom"/>
            <w:tcBorders>
              <w:bottom w:val="single" w:sz="8" w:color="BFBFBF"/>
            </w:tcBorders>
            <w:vMerge w:val="continue"/>
          </w:tcPr>
          <w:p>
            <w:pPr>
              <w:spacing w:after="0"/>
              <w:rPr>
                <w:sz w:val="20"/>
                <w:szCs w:val="20"/>
                <w:color w:val="auto"/>
              </w:rPr>
            </w:pPr>
          </w:p>
        </w:tc>
        <w:tc>
          <w:tcPr>
            <w:tcW w:w="200" w:type="dxa"/>
            <w:vAlign w:val="bottom"/>
            <w:tcBorders>
              <w:bottom w:val="single" w:sz="8" w:color="BFBFBF"/>
            </w:tcBorders>
          </w:tcPr>
          <w:p>
            <w:pPr>
              <w:spacing w:after="0"/>
              <w:rPr>
                <w:sz w:val="20"/>
                <w:szCs w:val="20"/>
                <w:color w:val="auto"/>
              </w:rPr>
            </w:pPr>
          </w:p>
        </w:tc>
        <w:tc>
          <w:tcPr>
            <w:tcW w:w="880" w:type="dxa"/>
            <w:vAlign w:val="bottom"/>
            <w:tcBorders>
              <w:bottom w:val="single" w:sz="8" w:color="BFBFBF"/>
            </w:tcBorders>
            <w:vMerge w:val="continue"/>
          </w:tcPr>
          <w:p>
            <w:pPr>
              <w:spacing w:after="0"/>
              <w:rPr>
                <w:sz w:val="20"/>
                <w:szCs w:val="20"/>
                <w:color w:val="auto"/>
              </w:rPr>
            </w:pPr>
          </w:p>
        </w:tc>
        <w:tc>
          <w:tcPr>
            <w:tcW w:w="200" w:type="dxa"/>
            <w:vAlign w:val="bottom"/>
            <w:tcBorders>
              <w:bottom w:val="single" w:sz="8" w:color="BFBFBF"/>
            </w:tcBorders>
          </w:tcPr>
          <w:p>
            <w:pPr>
              <w:spacing w:after="0"/>
              <w:rPr>
                <w:sz w:val="20"/>
                <w:szCs w:val="20"/>
                <w:color w:val="auto"/>
              </w:rPr>
            </w:pPr>
          </w:p>
        </w:tc>
        <w:tc>
          <w:tcPr>
            <w:tcW w:w="880" w:type="dxa"/>
            <w:vAlign w:val="bottom"/>
            <w:tcBorders>
              <w:bottom w:val="single" w:sz="8" w:color="BFBFBF"/>
            </w:tcBorders>
            <w:vMerge w:val="continue"/>
          </w:tcPr>
          <w:p>
            <w:pPr>
              <w:spacing w:after="0"/>
              <w:rPr>
                <w:sz w:val="20"/>
                <w:szCs w:val="20"/>
                <w:color w:val="auto"/>
              </w:rPr>
            </w:pPr>
          </w:p>
        </w:tc>
        <w:tc>
          <w:tcPr>
            <w:tcW w:w="200" w:type="dxa"/>
            <w:vAlign w:val="bottom"/>
            <w:tcBorders>
              <w:bottom w:val="single" w:sz="8" w:color="BFBFBF"/>
            </w:tcBorders>
          </w:tcPr>
          <w:p>
            <w:pPr>
              <w:spacing w:after="0"/>
              <w:rPr>
                <w:sz w:val="20"/>
                <w:szCs w:val="20"/>
                <w:color w:val="auto"/>
              </w:rPr>
            </w:pPr>
          </w:p>
        </w:tc>
        <w:tc>
          <w:tcPr>
            <w:tcW w:w="860" w:type="dxa"/>
            <w:vAlign w:val="bottom"/>
            <w:tcBorders>
              <w:bottom w:val="single" w:sz="8" w:color="BFBFBF"/>
            </w:tcBorders>
            <w:vMerge w:val="continue"/>
          </w:tcPr>
          <w:p>
            <w:pPr>
              <w:spacing w:after="0"/>
              <w:rPr>
                <w:sz w:val="20"/>
                <w:szCs w:val="20"/>
                <w:color w:val="auto"/>
              </w:rPr>
            </w:pPr>
          </w:p>
        </w:tc>
        <w:tc>
          <w:tcPr>
            <w:tcW w:w="280" w:type="dxa"/>
            <w:vAlign w:val="bottom"/>
            <w:tcBorders>
              <w:bottom w:val="single" w:sz="8" w:color="BFBFBF"/>
            </w:tcBorders>
          </w:tcPr>
          <w:p>
            <w:pPr>
              <w:spacing w:after="0"/>
              <w:rPr>
                <w:sz w:val="20"/>
                <w:szCs w:val="20"/>
                <w:color w:val="auto"/>
              </w:rPr>
            </w:pPr>
          </w:p>
        </w:tc>
        <w:tc>
          <w:tcPr>
            <w:tcW w:w="920" w:type="dxa"/>
            <w:vAlign w:val="bottom"/>
            <w:tcBorders>
              <w:bottom w:val="single" w:sz="8" w:color="BFBFBF"/>
            </w:tcBorders>
            <w:vMerge w:val="continue"/>
          </w:tcPr>
          <w:p>
            <w:pPr>
              <w:spacing w:after="0"/>
              <w:rPr>
                <w:sz w:val="20"/>
                <w:szCs w:val="20"/>
                <w:color w:val="auto"/>
              </w:rPr>
            </w:pPr>
          </w:p>
        </w:tc>
        <w:tc>
          <w:tcPr>
            <w:tcW w:w="220" w:type="dxa"/>
            <w:vAlign w:val="bottom"/>
            <w:tcBorders>
              <w:bottom w:val="single" w:sz="8" w:color="BFBFBF"/>
            </w:tcBorders>
          </w:tcPr>
          <w:p>
            <w:pPr>
              <w:spacing w:after="0"/>
              <w:rPr>
                <w:sz w:val="20"/>
                <w:szCs w:val="20"/>
                <w:color w:val="auto"/>
              </w:rPr>
            </w:pPr>
          </w:p>
        </w:tc>
        <w:tc>
          <w:tcPr>
            <w:tcW w:w="940" w:type="dxa"/>
            <w:vAlign w:val="bottom"/>
            <w:tcBorders>
              <w:bottom w:val="single" w:sz="8" w:color="BFBFBF"/>
            </w:tcBorders>
            <w:vMerge w:val="continue"/>
          </w:tcPr>
          <w:p>
            <w:pPr>
              <w:spacing w:after="0"/>
              <w:rPr>
                <w:sz w:val="20"/>
                <w:szCs w:val="20"/>
                <w:color w:val="auto"/>
              </w:rPr>
            </w:pPr>
          </w:p>
        </w:tc>
        <w:tc>
          <w:tcPr>
            <w:tcW w:w="220" w:type="dxa"/>
            <w:vAlign w:val="bottom"/>
            <w:tcBorders>
              <w:bottom w:val="single" w:sz="8" w:color="BFBFBF"/>
            </w:tcBorders>
          </w:tcPr>
          <w:p>
            <w:pPr>
              <w:spacing w:after="0"/>
              <w:rPr>
                <w:sz w:val="20"/>
                <w:szCs w:val="20"/>
                <w:color w:val="auto"/>
              </w:rPr>
            </w:pPr>
          </w:p>
        </w:tc>
        <w:tc>
          <w:tcPr>
            <w:tcW w:w="800" w:type="dxa"/>
            <w:vAlign w:val="bottom"/>
            <w:tcBorders>
              <w:bottom w:val="single" w:sz="8" w:color="BFBFB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Other comprehensive loss</w:t>
            </w:r>
          </w:p>
        </w:tc>
        <w:tc>
          <w:tcPr>
            <w:tcW w:w="94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80" w:type="dxa"/>
            <w:vAlign w:val="bottom"/>
            <w:tcBorders>
              <w:bottom w:val="single" w:sz="8" w:color="BFBFBF"/>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8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BFBFBF"/>
            </w:tcBorders>
          </w:tcPr>
          <w:p>
            <w:pPr>
              <w:spacing w:after="0"/>
              <w:rPr>
                <w:sz w:val="19"/>
                <w:szCs w:val="19"/>
                <w:color w:val="auto"/>
              </w:rPr>
            </w:pPr>
          </w:p>
        </w:tc>
        <w:tc>
          <w:tcPr>
            <w:tcW w:w="940" w:type="dxa"/>
            <w:vAlign w:val="bottom"/>
            <w:tcBorders>
              <w:bottom w:val="single" w:sz="8" w:color="BFBFBF"/>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8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line="169" w:lineRule="exact"/>
              <w:rPr>
                <w:sz w:val="20"/>
                <w:szCs w:val="20"/>
                <w:color w:val="auto"/>
              </w:rPr>
            </w:pPr>
            <w:r>
              <w:rPr>
                <w:rFonts w:ascii="Arial" w:cs="Arial" w:eastAsia="Arial" w:hAnsi="Arial"/>
                <w:sz w:val="18"/>
                <w:szCs w:val="18"/>
                <w:color w:val="auto"/>
              </w:rPr>
              <w:t>Dividends to noncontrolling</w:t>
            </w: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auto"/>
              </w:rPr>
              <w:t>interests</w:t>
            </w:r>
          </w:p>
        </w:tc>
        <w:tc>
          <w:tcPr>
            <w:tcW w:w="940" w:type="dxa"/>
            <w:vAlign w:val="bottom"/>
            <w:tcBorders>
              <w:bottom w:val="single" w:sz="8" w:color="BFBFBF"/>
            </w:tcBorders>
            <w:vMerge w:val="continue"/>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780" w:type="dxa"/>
            <w:vAlign w:val="bottom"/>
            <w:tcBorders>
              <w:bottom w:val="single" w:sz="8" w:color="BFBFBF"/>
            </w:tcBorders>
            <w:vMerge w:val="continue"/>
          </w:tcPr>
          <w:p>
            <w:pPr>
              <w:spacing w:after="0"/>
              <w:rPr>
                <w:sz w:val="21"/>
                <w:szCs w:val="21"/>
                <w:color w:val="auto"/>
              </w:rPr>
            </w:pPr>
          </w:p>
        </w:tc>
        <w:tc>
          <w:tcPr>
            <w:tcW w:w="200" w:type="dxa"/>
            <w:vAlign w:val="bottom"/>
            <w:tcBorders>
              <w:bottom w:val="single" w:sz="8" w:color="BFBFBF"/>
            </w:tcBorders>
          </w:tcPr>
          <w:p>
            <w:pPr>
              <w:spacing w:after="0"/>
              <w:rPr>
                <w:sz w:val="21"/>
                <w:szCs w:val="21"/>
                <w:color w:val="auto"/>
              </w:rPr>
            </w:pPr>
          </w:p>
        </w:tc>
        <w:tc>
          <w:tcPr>
            <w:tcW w:w="880" w:type="dxa"/>
            <w:vAlign w:val="bottom"/>
            <w:tcBorders>
              <w:bottom w:val="single" w:sz="8" w:color="BFBFBF"/>
            </w:tcBorders>
            <w:vMerge w:val="continue"/>
          </w:tcPr>
          <w:p>
            <w:pPr>
              <w:spacing w:after="0"/>
              <w:rPr>
                <w:sz w:val="21"/>
                <w:szCs w:val="21"/>
                <w:color w:val="auto"/>
              </w:rPr>
            </w:pPr>
          </w:p>
        </w:tc>
        <w:tc>
          <w:tcPr>
            <w:tcW w:w="200" w:type="dxa"/>
            <w:vAlign w:val="bottom"/>
            <w:tcBorders>
              <w:bottom w:val="single" w:sz="8" w:color="BFBFBF"/>
            </w:tcBorders>
          </w:tcPr>
          <w:p>
            <w:pPr>
              <w:spacing w:after="0"/>
              <w:rPr>
                <w:sz w:val="21"/>
                <w:szCs w:val="21"/>
                <w:color w:val="auto"/>
              </w:rPr>
            </w:pPr>
          </w:p>
        </w:tc>
        <w:tc>
          <w:tcPr>
            <w:tcW w:w="880" w:type="dxa"/>
            <w:vAlign w:val="bottom"/>
            <w:tcBorders>
              <w:bottom w:val="single" w:sz="8" w:color="BFBFBF"/>
            </w:tcBorders>
            <w:vMerge w:val="continue"/>
          </w:tcPr>
          <w:p>
            <w:pPr>
              <w:spacing w:after="0"/>
              <w:rPr>
                <w:sz w:val="21"/>
                <w:szCs w:val="21"/>
                <w:color w:val="auto"/>
              </w:rPr>
            </w:pPr>
          </w:p>
        </w:tc>
        <w:tc>
          <w:tcPr>
            <w:tcW w:w="200" w:type="dxa"/>
            <w:vAlign w:val="bottom"/>
            <w:tcBorders>
              <w:bottom w:val="single" w:sz="8" w:color="BFBFBF"/>
            </w:tcBorders>
          </w:tcPr>
          <w:p>
            <w:pPr>
              <w:spacing w:after="0"/>
              <w:rPr>
                <w:sz w:val="21"/>
                <w:szCs w:val="21"/>
                <w:color w:val="auto"/>
              </w:rPr>
            </w:pPr>
          </w:p>
        </w:tc>
        <w:tc>
          <w:tcPr>
            <w:tcW w:w="860" w:type="dxa"/>
            <w:vAlign w:val="bottom"/>
            <w:tcBorders>
              <w:bottom w:val="single" w:sz="8" w:color="BFBFBF"/>
            </w:tcBorders>
            <w:vMerge w:val="continue"/>
          </w:tcPr>
          <w:p>
            <w:pPr>
              <w:spacing w:after="0"/>
              <w:rPr>
                <w:sz w:val="21"/>
                <w:szCs w:val="21"/>
                <w:color w:val="auto"/>
              </w:rPr>
            </w:pPr>
          </w:p>
        </w:tc>
        <w:tc>
          <w:tcPr>
            <w:tcW w:w="280" w:type="dxa"/>
            <w:vAlign w:val="bottom"/>
            <w:tcBorders>
              <w:bottom w:val="single" w:sz="8" w:color="BFBFBF"/>
            </w:tcBorders>
          </w:tcPr>
          <w:p>
            <w:pPr>
              <w:spacing w:after="0"/>
              <w:rPr>
                <w:sz w:val="21"/>
                <w:szCs w:val="21"/>
                <w:color w:val="auto"/>
              </w:rPr>
            </w:pPr>
          </w:p>
        </w:tc>
        <w:tc>
          <w:tcPr>
            <w:tcW w:w="920" w:type="dxa"/>
            <w:vAlign w:val="bottom"/>
            <w:tcBorders>
              <w:bottom w:val="single" w:sz="8" w:color="BFBFBF"/>
            </w:tcBorders>
            <w:vMerge w:val="continue"/>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940" w:type="dxa"/>
            <w:vAlign w:val="bottom"/>
            <w:tcBorders>
              <w:bottom w:val="single" w:sz="8" w:color="BFBFBF"/>
            </w:tcBorders>
            <w:vMerge w:val="continue"/>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800" w:type="dxa"/>
            <w:vAlign w:val="bottom"/>
            <w:tcBorders>
              <w:bottom w:val="single" w:sz="8" w:color="BFBFB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line="169" w:lineRule="exact"/>
              <w:rPr>
                <w:sz w:val="20"/>
                <w:szCs w:val="20"/>
                <w:color w:val="auto"/>
              </w:rPr>
            </w:pPr>
            <w:r>
              <w:rPr>
                <w:rFonts w:ascii="Arial" w:cs="Arial" w:eastAsia="Arial" w:hAnsi="Arial"/>
                <w:sz w:val="18"/>
                <w:szCs w:val="18"/>
                <w:color w:val="auto"/>
              </w:rPr>
              <w:t>Stock-based compensation</w:t>
            </w: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4"/>
                <w:szCs w:val="14"/>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384348"/>
            </w:tcBorders>
          </w:tcPr>
          <w:p>
            <w:pPr>
              <w:ind w:left="180"/>
              <w:spacing w:after="0"/>
              <w:rPr>
                <w:sz w:val="20"/>
                <w:szCs w:val="20"/>
                <w:color w:val="auto"/>
              </w:rPr>
            </w:pPr>
            <w:r>
              <w:rPr>
                <w:rFonts w:ascii="Arial" w:cs="Arial" w:eastAsia="Arial" w:hAnsi="Arial"/>
                <w:sz w:val="18"/>
                <w:szCs w:val="18"/>
                <w:color w:val="auto"/>
              </w:rPr>
              <w:t>expense</w:t>
            </w:r>
          </w:p>
        </w:tc>
        <w:tc>
          <w:tcPr>
            <w:tcW w:w="94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tcPr>
          <w:p>
            <w:pPr>
              <w:spacing w:after="0"/>
              <w:rPr>
                <w:sz w:val="21"/>
                <w:szCs w:val="21"/>
                <w:color w:val="auto"/>
              </w:rPr>
            </w:pPr>
          </w:p>
        </w:tc>
        <w:tc>
          <w:tcPr>
            <w:tcW w:w="7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tcPr>
          <w:p>
            <w:pPr>
              <w:spacing w:after="0"/>
              <w:rPr>
                <w:sz w:val="21"/>
                <w:szCs w:val="21"/>
                <w:color w:val="auto"/>
              </w:rPr>
            </w:pPr>
          </w:p>
        </w:tc>
        <w:tc>
          <w:tcPr>
            <w:tcW w:w="8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tcPr>
          <w:p>
            <w:pPr>
              <w:spacing w:after="0"/>
              <w:rPr>
                <w:sz w:val="21"/>
                <w:szCs w:val="21"/>
                <w:color w:val="auto"/>
              </w:rPr>
            </w:pPr>
          </w:p>
        </w:tc>
        <w:tc>
          <w:tcPr>
            <w:tcW w:w="8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tcPr>
          <w:p>
            <w:pPr>
              <w:spacing w:after="0"/>
              <w:rPr>
                <w:sz w:val="21"/>
                <w:szCs w:val="21"/>
                <w:color w:val="auto"/>
              </w:rPr>
            </w:pPr>
          </w:p>
        </w:tc>
        <w:tc>
          <w:tcPr>
            <w:tcW w:w="860" w:type="dxa"/>
            <w:vAlign w:val="bottom"/>
            <w:tcBorders>
              <w:bottom w:val="single" w:sz="8" w:color="384348"/>
            </w:tcBorders>
            <w:vMerge w:val="continue"/>
          </w:tcPr>
          <w:p>
            <w:pPr>
              <w:spacing w:after="0"/>
              <w:rPr>
                <w:sz w:val="21"/>
                <w:szCs w:val="21"/>
                <w:color w:val="auto"/>
              </w:rPr>
            </w:pPr>
          </w:p>
        </w:tc>
        <w:tc>
          <w:tcPr>
            <w:tcW w:w="280" w:type="dxa"/>
            <w:vAlign w:val="bottom"/>
            <w:tcBorders>
              <w:bottom w:val="single" w:sz="8" w:color="384348"/>
            </w:tcBorders>
          </w:tcPr>
          <w:p>
            <w:pPr>
              <w:spacing w:after="0"/>
              <w:rPr>
                <w:sz w:val="21"/>
                <w:szCs w:val="21"/>
                <w:color w:val="auto"/>
              </w:rPr>
            </w:pPr>
          </w:p>
        </w:tc>
        <w:tc>
          <w:tcPr>
            <w:tcW w:w="92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tcPr>
          <w:p>
            <w:pPr>
              <w:spacing w:after="0"/>
              <w:rPr>
                <w:sz w:val="21"/>
                <w:szCs w:val="21"/>
                <w:color w:val="auto"/>
              </w:rPr>
            </w:pPr>
          </w:p>
        </w:tc>
        <w:tc>
          <w:tcPr>
            <w:tcW w:w="94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tcPr>
          <w:p>
            <w:pPr>
              <w:spacing w:after="0"/>
              <w:rPr>
                <w:sz w:val="21"/>
                <w:szCs w:val="21"/>
                <w:color w:val="auto"/>
              </w:rPr>
            </w:pPr>
          </w:p>
        </w:tc>
        <w:tc>
          <w:tcPr>
            <w:tcW w:w="800" w:type="dxa"/>
            <w:vAlign w:val="bottom"/>
            <w:tcBorders>
              <w:bottom w:val="single" w:sz="8" w:color="384348"/>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Balance as of September 26,</w:t>
            </w: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317.0</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29</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(1,804)</w:t>
            </w:r>
          </w:p>
        </w:tc>
        <w:tc>
          <w:tcPr>
            <w:tcW w:w="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(800)</w:t>
            </w:r>
          </w:p>
        </w:tc>
        <w:tc>
          <w:tcPr>
            <w:tcW w:w="2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83</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(2,489)</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384348"/>
            </w:tcBorders>
          </w:tcPr>
          <w:p>
            <w:pPr>
              <w:ind w:left="180"/>
              <w:spacing w:after="0"/>
              <w:rPr>
                <w:sz w:val="20"/>
                <w:szCs w:val="20"/>
                <w:color w:val="auto"/>
              </w:rPr>
            </w:pPr>
            <w:r>
              <w:rPr>
                <w:rFonts w:ascii="Arial" w:cs="Arial" w:eastAsia="Arial" w:hAnsi="Arial"/>
                <w:sz w:val="18"/>
                <w:szCs w:val="18"/>
                <w:b w:val="1"/>
                <w:bCs w:val="1"/>
                <w:color w:val="auto"/>
              </w:rPr>
              <w:t>2026</w:t>
            </w:r>
          </w:p>
        </w:tc>
        <w:tc>
          <w:tcPr>
            <w:tcW w:w="94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7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8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880" w:type="dxa"/>
            <w:vAlign w:val="bottom"/>
            <w:tcBorders>
              <w:bottom w:val="single" w:sz="8" w:color="384348"/>
            </w:tcBorders>
            <w:vMerge w:val="continue"/>
          </w:tcPr>
          <w:p>
            <w:pPr>
              <w:spacing w:after="0"/>
              <w:rPr>
                <w:sz w:val="21"/>
                <w:szCs w:val="21"/>
                <w:color w:val="auto"/>
              </w:rPr>
            </w:pPr>
          </w:p>
        </w:tc>
        <w:tc>
          <w:tcPr>
            <w:tcW w:w="200" w:type="dxa"/>
            <w:vAlign w:val="bottom"/>
            <w:tcBorders>
              <w:bottom w:val="single" w:sz="8" w:color="384348"/>
            </w:tcBorders>
            <w:vMerge w:val="continue"/>
          </w:tcPr>
          <w:p>
            <w:pPr>
              <w:spacing w:after="0"/>
              <w:rPr>
                <w:sz w:val="21"/>
                <w:szCs w:val="21"/>
                <w:color w:val="auto"/>
              </w:rPr>
            </w:pPr>
          </w:p>
        </w:tc>
        <w:tc>
          <w:tcPr>
            <w:tcW w:w="860" w:type="dxa"/>
            <w:vAlign w:val="bottom"/>
            <w:tcBorders>
              <w:bottom w:val="single" w:sz="8" w:color="384348"/>
            </w:tcBorders>
            <w:vMerge w:val="continue"/>
          </w:tcPr>
          <w:p>
            <w:pPr>
              <w:spacing w:after="0"/>
              <w:rPr>
                <w:sz w:val="21"/>
                <w:szCs w:val="21"/>
                <w:color w:val="auto"/>
              </w:rPr>
            </w:pPr>
          </w:p>
        </w:tc>
        <w:tc>
          <w:tcPr>
            <w:tcW w:w="280" w:type="dxa"/>
            <w:vAlign w:val="bottom"/>
            <w:tcBorders>
              <w:bottom w:val="single" w:sz="8" w:color="384348"/>
            </w:tcBorders>
            <w:vMerge w:val="continue"/>
          </w:tcPr>
          <w:p>
            <w:pPr>
              <w:spacing w:after="0"/>
              <w:rPr>
                <w:sz w:val="21"/>
                <w:szCs w:val="21"/>
                <w:color w:val="auto"/>
              </w:rPr>
            </w:pPr>
          </w:p>
        </w:tc>
        <w:tc>
          <w:tcPr>
            <w:tcW w:w="92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940" w:type="dxa"/>
            <w:vAlign w:val="bottom"/>
            <w:tcBorders>
              <w:bottom w:val="single" w:sz="8" w:color="384348"/>
            </w:tcBorders>
            <w:vMerge w:val="continue"/>
          </w:tcPr>
          <w:p>
            <w:pPr>
              <w:spacing w:after="0"/>
              <w:rPr>
                <w:sz w:val="21"/>
                <w:szCs w:val="21"/>
                <w:color w:val="auto"/>
              </w:rPr>
            </w:pPr>
          </w:p>
        </w:tc>
        <w:tc>
          <w:tcPr>
            <w:tcW w:w="220" w:type="dxa"/>
            <w:vAlign w:val="bottom"/>
            <w:tcBorders>
              <w:bottom w:val="single" w:sz="8" w:color="384348"/>
            </w:tcBorders>
            <w:vMerge w:val="continue"/>
          </w:tcPr>
          <w:p>
            <w:pPr>
              <w:spacing w:after="0"/>
              <w:rPr>
                <w:sz w:val="21"/>
                <w:szCs w:val="21"/>
                <w:color w:val="auto"/>
              </w:rPr>
            </w:pPr>
          </w:p>
        </w:tc>
        <w:tc>
          <w:tcPr>
            <w:tcW w:w="800" w:type="dxa"/>
            <w:vAlign w:val="bottom"/>
            <w:tcBorders>
              <w:bottom w:val="single" w:sz="8" w:color="384348"/>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AEROSPACE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millions, except per share amounts)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Honeywell Aerospace Inc. (“Aerospace” or the “Company”) was organized on February 6, 2026, for the purpose of receiving, pursuant to a reorganization, all of the assets of the aerospace business segment (the “Aerospace Business”), a former carve-out business of Honeywell International Inc., which is now known as Honeywell Technologies (“Honeywell” or “Parent”). On June 29, 2026 (the “Distribution Date”), Honeywell completed the spin-off of the Aerospace Business (the “Spin-off”) through a pro-rata distribution (the “Distribution”) of all of the Company's outstanding common shares to holders of record of Honeywell's common shares as of the close of business on June 15, 2026 (the “Record Date”), at which time each holder of Honeywell's common shares received one Aerospace common share for every two Honeywell common shares held as of the close of business on the Record Date, resulting in the Distribution of 316.9 million of the Company's common shares. As a result of the Distribution, the Company became an independent publicly traded company. The Company’s common stock is listed under the symbol “HONA” on The Nasdaq Stock Market LLC (“Nasdaq”).</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unaudited financial statements are presented on a consolidated basis. For periods prior to the Spin-off, the Company's unaudited financial statements were prepared on a combined basis and derived from the consolidated financial statements and accounting records of Honeywell. These financial statements do not purport to reflect what the results of operations, comprehensive income, financial position, or cash flows would have been had the Company operated as an independent entity during the periods presented. The financial statements included herein are referred to as the “Condensed Consolidated Financial Statements” for all periods presented.</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financial statements were prepared in accordance with accounting principles generally accepted in the United States of America (“GAAP”) pursuant to the rules and regulations of the U.S. Securities and Exchange Commission (“SEC”) and, in the opinion of management, include all adjustments (consisting of normal, recurring adjustments, unless otherwise disclosed) necessary for a fair statement of the results of operations, financial position, and cash flows for each period presented. The results for the interim periods are not necessarily indicative of results to be expected for the full year.</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balance sheet as of December 31, 2025 was derived from audited financial statements but does not include all disclosures required by GAAP. These financial statements should be read in conjunction with the financial statements and notes included in the Company’s audited Combined Financial Statements for the year ended December 31, 2025, included in the Company’s final information statement, dated as of June 15, 2026 (the “Information Statement”), </w:t>
      </w:r>
      <w:r>
        <w:rPr>
          <w:rFonts w:ascii="Arial" w:cs="Arial" w:eastAsia="Arial" w:hAnsi="Arial"/>
          <w:sz w:val="18"/>
          <w:szCs w:val="18"/>
          <w:color w:val="1E1E23"/>
        </w:rPr>
        <w:t>which was furnished as Exhibit 99.1</w:t>
      </w:r>
      <w:r>
        <w:rPr>
          <w:rFonts w:ascii="Arial" w:cs="Arial" w:eastAsia="Arial" w:hAnsi="Arial"/>
          <w:sz w:val="18"/>
          <w:szCs w:val="18"/>
          <w:color w:val="auto"/>
        </w:rPr>
        <w:t xml:space="preserve"> to the Company's Current Report on Form 8-K filed with the SEC on June 15, 2026.</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periods prior to the Spin-off, the unaudited financial statements include certain assets and liabilities that have historically been held at the Honeywell corporate level but were specifically identifiable or otherwise attributable to the Company. Honeywell used a centralized approach to cash management and financing of its operations. Accordingly, for periods prior to the Spin-off, a substantial portion of the Company’s cash accounts were regularly cleared to Honeywell at Honeywell’s discretion and Honeywell funded the Company’s operating and investing activities as needed. Transfers of cash between Honeywell and the Company were included within Net transfers to Parent in the Condensed Consolidated Statements of Cash Flows and the Condensed Consolidated Statements of Equity. The Cash and cash equivalents held by Honeywell at the corporate level were not specifically identifiable to the Company and therefore were not attributed for any of the periods presented. Other than the notes issued by the Company, Honeywell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party debt and the related interest expense were not attributed to the Company for any of the periods presented as the Company was not the legal obligor of such borrowings and Honeywell’s borrowings were not directly attributable to the Company.</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Prior to the Spin-off, Honeywell provided certain services, such as legal, accounting, technology, human resources, and other infrastructure support, on behalf of the Company. The unaudited financial statements include all revenues and costs directly attributable to the Company and an allocation of expenses related to certain Honeywell corporate functions (refer to </w:t>
      </w:r>
      <w:r>
        <w:rPr>
          <w:rFonts w:ascii="Arial" w:cs="Arial" w:eastAsia="Arial" w:hAnsi="Arial"/>
          <w:sz w:val="18"/>
          <w:szCs w:val="18"/>
          <w:u w:val="single" w:color="auto"/>
          <w:color w:val="0000FF"/>
        </w:rPr>
        <w:t>Note 3. Related Party Transactions</w:t>
      </w:r>
      <w:r>
        <w:rPr>
          <w:rFonts w:ascii="Arial" w:cs="Arial" w:eastAsia="Arial" w:hAnsi="Arial"/>
          <w:sz w:val="18"/>
          <w:szCs w:val="18"/>
          <w:color w:val="auto"/>
        </w:rPr>
        <w:t>). These expenses were allocated to the Company based on a proportion of Net sales. The Company considers allocations of these costs to be a reasonable reflection of the benefits received by the Company. However, the financial information presented prior to the Spin-off may not reflect the financial position, operating results, and cash flows of the Company had the Company been a separate standalone entity during the periods presented. Actual costs that would have been incurred if the Company had been a standalone company would depend on multiple factors, including organizational structure and strategic decisions made in various areas, including information technology and infrastructure. The Company considers the basis on which the expenses have been allocated to be a reasonable reflection of the utilization of services provided to or the benefits received by the Company during the periods presented.</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All intracompany transactions and balances within the Company have been eliminated. For periods prior to the Spin-off, transactions between Honeywell and the Company that were not cash settled are included within Net Parent investment. The total net effect of the settlement of these intercompany transactions was reflected in the Condensed Consolidated Statements of Cash Flows as a financing activity and in the Condensed Consolidated Balance Sheets as Net Parent investment. Transactions prior to the Spin-off between the Company and other businesses of Honeywell are considered related party transactions. See </w:t>
      </w:r>
      <w:r>
        <w:rPr>
          <w:rFonts w:ascii="Arial" w:cs="Arial" w:eastAsia="Arial" w:hAnsi="Arial"/>
          <w:sz w:val="18"/>
          <w:szCs w:val="18"/>
          <w:u w:val="single" w:color="auto"/>
          <w:color w:val="0000FF"/>
        </w:rPr>
        <w:t>Note 3. Related Party Transactions</w:t>
      </w:r>
      <w:r>
        <w:rPr>
          <w:rFonts w:ascii="Arial" w:cs="Arial" w:eastAsia="Arial" w:hAnsi="Arial"/>
          <w:sz w:val="18"/>
          <w:szCs w:val="18"/>
          <w:color w:val="auto"/>
        </w:rPr>
        <w:t xml:space="preserve"> for more information.</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fiscal year begins on January 1 and ends on December 31. The Company’s practice is to establish interim quarterly closing dates using a predetermined fiscal calendar, which requires the Company’s businesses to close its books on a Saturday in order to minimize the potentially disruptive effects of quarterly closing on the Company's business processes. The Company’s closing dates for the third quarter of 2026 and 2025 were September 26, 2026 and September 27, 2025,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significant accounting policies of the Company are set forth in Note 2. Summary of Significant Accounting Policies within the Company’s Combined Financial Statements as of December 31, 2025 and 2024, and for the years ended December 31, 2025, 2024, and 2023, which can be found in the Information Statement. The Company includes herein certain updates to those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the three months ended September 26, 2026, the Company had no sales of trade accounts receivable. For the nine months ended September 26, 2026, the Company sold $344 million of trade accounts receivable, of which related fees were insignificant. For the three and nine months ended September 27, 2025, the Company had no sales of trade accounts receivable.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 Financing</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Amounts outstanding related to supply chain financing programs are included in Accounts payable in the Condensed Consolidated Balance Sheets. Accounts payable related to supply chain financing programs were $455 million and $521 million as of September 26, 2026 and December 31, 2025,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Effective September 26, 2026, the Company began separately presenting Pension assets and Deferred tax liabilities on the Condensed Consolidated Balance Sheets, which were previously included within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and Other liabilities, respectively. The Company also reclassified interest income from Other (income) expense, net to Interest expense (income), net on the Condensed Consolidated Statements of Operations. Prior period amounts have been reclassified to conform to the current year’s financial statement presentation.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considers the applicability and impact of all Accounting Standards Updates (“ASU”) issued by the Financial Accounting Standards Board (“FASB”). ASUs not listed below were assessed and determined to be either not applicable or are expected to have a minimal impact on the Company’s Condensed Consolidated Statements of Operations, Condensed Consolidated Balance Sheets, and Condensed Consolidated Statements of Cash Flows.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which requires companies to disclose additional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types of expenses in 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is effective for annual reporting periods beginning after December 15, 2026, and interim reporting periods beginning after December 15, 2027, and may be applied prospectively or retrospectively, with early adoption permitted. The Company is currently evaluating the impacts of this guidance on the Company’s Condensed Consolidated Financial Statements.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 – Goodwill and Other – Internal-Use Software (Subtopic 350-40):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to the Accounting for Internal-Use Software, </w:t>
      </w:r>
      <w:r>
        <w:rPr>
          <w:rFonts w:ascii="Arial" w:cs="Arial" w:eastAsia="Arial" w:hAnsi="Arial"/>
          <w:sz w:val="18"/>
          <w:szCs w:val="18"/>
          <w:color w:val="auto"/>
        </w:rPr>
        <w:t>which modernizes the accounting for internal-use software costs by removing 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references to prescriptive and sequential software development stages. The new standard requires entities to consider whether significant development uncertainty has been resolved before starting to capitalize software costs and aligns disclosure requirements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The ASU is effective for annual and interim reporting periods beginning after December 15, 2027, and can</w:t>
      </w:r>
      <w:r>
        <w:rPr>
          <w:rFonts w:ascii="Arial" w:cs="Arial" w:eastAsia="Arial" w:hAnsi="Arial"/>
          <w:sz w:val="18"/>
          <w:szCs w:val="18"/>
          <w:i w:val="1"/>
          <w:iCs w:val="1"/>
          <w:color w:val="auto"/>
        </w:rPr>
        <w:t xml:space="preserve"> </w:t>
      </w:r>
      <w:r>
        <w:rPr>
          <w:rFonts w:ascii="Arial" w:cs="Arial" w:eastAsia="Arial" w:hAnsi="Arial"/>
          <w:sz w:val="18"/>
          <w:szCs w:val="18"/>
          <w:color w:val="auto"/>
        </w:rPr>
        <w:t>be applied prospectively, retrospectively, or using a modified prospective transition method, with early adoption permitted. The Company is currently evaluating the impacts of this guidance on the Company’s Condensed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Related Party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Related party debt due from and due to Honeywell or its affiliates are recorded in Accounts receivable and Accrued liabilities in the Condensed Consolidated Balance Sheets, respectively. Related party loans receivable of $44 million and related party loans payable of $16 million are reflected in the Condensed Consolidated Balance Sheets as of December 31, 2025. No related party loans receivable or payable were outstanding as of September 26, 2026. The interest income and expense related to the loan activity is recorded in Interest expense (income), net in the Condensed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to Honeywell</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March 16, 2026, the Company completed the private note offering of $ 16.0 billion of senior unsecured notes (collectively the “Initial Notes”). Net proceeds of $15.1 billion from the Initial Notes were distributed to Honeywell in connection with the Spin-off. The distribution was reflected in the Condensed Consolidated Statements of Cash Flows as a financing activity and in the Condensed Consolidated Balance Sheets as Net Parent investment. Refer to </w:t>
      </w:r>
      <w:r>
        <w:rPr>
          <w:rFonts w:ascii="Arial" w:cs="Arial" w:eastAsia="Arial" w:hAnsi="Arial"/>
          <w:sz w:val="18"/>
          <w:szCs w:val="18"/>
          <w:u w:val="single" w:color="auto"/>
          <w:color w:val="0000FF"/>
        </w:rPr>
        <w:t>Note 9. Debt and Credit Agreements</w:t>
      </w:r>
      <w:r>
        <w:rPr>
          <w:rFonts w:ascii="Arial" w:cs="Arial" w:eastAsia="Arial" w:hAnsi="Arial"/>
          <w:sz w:val="18"/>
          <w:szCs w:val="18"/>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Allocations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periods prior to the Spin-off, the Company recorded expenses allocated from Honeywell including, but not limited to, legal, accounting, information technology, human resources, and other infrastructure support. Allocations for management costs and corporate support services provided to the Company totaled $294 million for the nine months ended September 26, 2026, and totaled $164 million and $475 million for the three and nine months ended September 27, 2025, respectively, and such amounts are included within Cost of products and services sold, Research and development expenses, and Selling, general and administrative expenses in the Condensed Consolidated Statements of Operations. For the three months ended September 26, 2026, there were no expenses allocated from Honeywell.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Management and Net Parent Investment</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periods prior to the Spin-off, Honeywell used a centralized approach for the purpose of cash management and financing of its operations. The Company’s excess cash in participating bank accounts was transferred to Honeywell daily, and Honeywell funded the Company’s operating and investing activities as needed. Honeywell operated a centralized non-interest-bearing cash pool in the U.S. and regional interest-bearing cash pools outside of the U.S. The total net effect of the settlement of these intercompany transactions is reflected in the Condensed Consolidated Statements of Cash Flows as a financing activity and in the Condensed Consolidated Balance Sheets as Net Parent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and Distribution Agreements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connection with the Spin-off, the Company and Honeywell entered into definitive agreements which set forth the terms and conditions of the Spin-off and provide a framework for the Company’s relationship with Honeywell following the Spin-off as follows:</w:t>
      </w:r>
    </w:p>
    <w:p>
      <w:pPr>
        <w:spacing w:after="0" w:line="99" w:lineRule="exact"/>
        <w:rPr>
          <w:sz w:val="20"/>
          <w:szCs w:val="20"/>
          <w:color w:val="auto"/>
        </w:rPr>
      </w:pPr>
    </w:p>
    <w:p>
      <w:pPr>
        <w:jc w:val="both"/>
        <w:ind w:left="660" w:hanging="328"/>
        <w:spacing w:after="0" w:line="268"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Separation and Distribution Agreement sets forth, among other things, the Company’s agreements with Honeywell regarding the principal actions to be taken in connection with the Spin-off. It also sets forth other agreements that govern certain aspects of the Company’s ongoing relationship with Honeywell following the Distribution.</w:t>
      </w:r>
    </w:p>
    <w:p>
      <w:pPr>
        <w:spacing w:after="0" w:line="116"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Transition Services Agreement governs certain transitional services to be provided by Honeywell to the Company on an interim, transitional basis. The services, including, but not limited to global real estate support, information technology support, finance administration support, and human resources support, will be provided for a limited time, generally for no longer than two years following the Distribution Date, and will be provided for specified fees, which are generally based on the cost of services provided.</w:t>
      </w:r>
    </w:p>
    <w:p>
      <w:pPr>
        <w:spacing w:after="0" w:line="122"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Tax Matters Agreement governs the Company’s and Honeywell’s respective rights, responsibilities, and obligations with respect to tax liabilities and benefits, tax attributes, the preparation and filing of tax returns, the control of audits and tax proceedings, and other matters regarding taxes. The Tax Matters Agreement provides special rules that allocate tax liabilities in the event the share distribution or certain related transactions fail to qualify for their intended tax consequences.</w:t>
      </w:r>
    </w:p>
    <w:p>
      <w:pPr>
        <w:spacing w:after="0" w:line="122"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Employee Matters Agreement addresses employment and employee compensation and benefits matters. The Employee Matters Agreement addresses the allocation and treatment of assets and liabilities relating to employees and compensation and benefit plans and programs in which the Company’s employees participated prior to the Spin-off.</w:t>
      </w:r>
    </w:p>
    <w:p>
      <w:pPr>
        <w:spacing w:after="0" w:line="116"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Intellectual Property License Agreement governs the terms by which each of the Company and Honeywell, and their respective affiliates, grant and receive perpetual non-exclusive licenses to and from each other in respect of certain patents and other intellectual property rights owned by the licensing party or its group, excluding rights in trademarks and certain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rights that may be addressed in separate agreements between the parties or their respective affiliates.</w:t>
      </w:r>
    </w:p>
    <w:p>
      <w:pPr>
        <w:spacing w:after="0" w:line="171" w:lineRule="exact"/>
        <w:rPr>
          <w:sz w:val="20"/>
          <w:szCs w:val="20"/>
          <w:color w:val="auto"/>
        </w:rPr>
      </w:pPr>
    </w:p>
    <w:p>
      <w:pPr>
        <w:jc w:val="both"/>
        <w:ind w:left="660" w:hanging="328"/>
        <w:spacing w:after="0" w:line="255" w:lineRule="auto"/>
        <w:tabs>
          <w:tab w:leader="none" w:pos="6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Trademark License Agreement provides the Company a license to use “Honeywell Aerospace” and certain other trademarks in its operation of the Aerospace business, including in the names of Honeywell Aerospace and certain of its subsidiaries, subject to certain restrictions. The agreement includes exclusivity terms with respect to the use of “Honeywell Aerospace” and certain other uses, subject to certain exceptions, including exceptions permitting the Company to continue to market and sell products and services under the “Honeywell” mark. The Trademark License Agreement includes customary quality control provisions to protect and preserve the goodwill associated with “Honeywell” and the other licensed marks. In exchange, the Company will pay Honeywell an aggregate amount of $1,125 million over a period of five years, with an initial payment of $18.75 million that was paid within five days of the Distribution Date followed by 59 equal monthly payments of $18.75 million. Costs associated with the Honeywell trademark license are expensed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disaggregation of revenue by end market: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500" w:type="dxa"/>
            <w:vAlign w:val="bottom"/>
            <w:tcBorders>
              <w:bottom w:val="single" w:sz="8" w:color="FF4400"/>
            </w:tcBorders>
          </w:tcPr>
          <w:p>
            <w:pPr>
              <w:spacing w:after="0"/>
              <w:rPr>
                <w:sz w:val="17"/>
                <w:szCs w:val="17"/>
                <w:color w:val="auto"/>
              </w:rPr>
            </w:pPr>
          </w:p>
        </w:tc>
        <w:tc>
          <w:tcPr>
            <w:tcW w:w="2020" w:type="dxa"/>
            <w:vAlign w:val="bottom"/>
            <w:tcBorders>
              <w:bottom w:val="single" w:sz="8" w:color="FF4400"/>
            </w:tcBorders>
            <w:gridSpan w:val="2"/>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FF4400"/>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FF4400"/>
            </w:tcBorders>
          </w:tcPr>
          <w:p>
            <w:pPr>
              <w:spacing w:after="0"/>
              <w:rPr>
                <w:sz w:val="17"/>
                <w:szCs w:val="17"/>
                <w:color w:val="auto"/>
              </w:rPr>
            </w:pPr>
          </w:p>
        </w:tc>
        <w:tc>
          <w:tcPr>
            <w:tcW w:w="2720" w:type="dxa"/>
            <w:vAlign w:val="bottom"/>
            <w:tcBorders>
              <w:bottom w:val="single" w:sz="8" w:color="FF4400"/>
            </w:tcBorders>
            <w:gridSpan w:val="3"/>
          </w:tcPr>
          <w:p>
            <w:pPr>
              <w:jc w:val="right"/>
              <w:ind w:right="85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680" w:type="dxa"/>
            <w:vAlign w:val="bottom"/>
            <w:tcBorders>
              <w:bottom w:val="single" w:sz="8" w:color="FF4400"/>
            </w:tcBorders>
          </w:tcPr>
          <w:p>
            <w:pPr>
              <w:spacing w:after="0"/>
              <w:rPr>
                <w:sz w:val="17"/>
                <w:szCs w:val="17"/>
                <w:color w:val="auto"/>
              </w:rPr>
            </w:pPr>
          </w:p>
        </w:tc>
        <w:tc>
          <w:tcPr>
            <w:tcW w:w="1580" w:type="dxa"/>
            <w:vAlign w:val="bottom"/>
            <w:tcBorders>
              <w:bottom w:val="single" w:sz="8" w:color="FF4400"/>
            </w:tcBorders>
            <w:gridSpan w:val="2"/>
          </w:tcPr>
          <w:p>
            <w:pPr>
              <w:jc w:val="right"/>
              <w:ind w:right="34"/>
              <w:spacing w:after="0"/>
              <w:rPr>
                <w:sz w:val="20"/>
                <w:szCs w:val="20"/>
                <w:color w:val="auto"/>
              </w:rPr>
            </w:pPr>
            <w:r>
              <w:rPr>
                <w:rFonts w:ascii="Arial" w:cs="Arial" w:eastAsia="Arial" w:hAnsi="Arial"/>
                <w:sz w:val="14"/>
                <w:szCs w:val="14"/>
                <w:b w:val="1"/>
                <w:bCs w:val="1"/>
                <w:color w:val="auto"/>
              </w:rPr>
              <w:t>September 26, 2026</w:t>
            </w:r>
          </w:p>
        </w:tc>
        <w:tc>
          <w:tcPr>
            <w:tcW w:w="1740" w:type="dxa"/>
            <w:vAlign w:val="bottom"/>
            <w:tcBorders>
              <w:bottom w:val="single" w:sz="8" w:color="FF4400"/>
            </w:tcBorders>
            <w:gridSpan w:val="3"/>
          </w:tcPr>
          <w:p>
            <w:pPr>
              <w:ind w:left="200"/>
              <w:spacing w:after="0"/>
              <w:rPr>
                <w:sz w:val="20"/>
                <w:szCs w:val="20"/>
                <w:color w:val="auto"/>
              </w:rPr>
            </w:pPr>
            <w:r>
              <w:rPr>
                <w:rFonts w:ascii="Arial" w:cs="Arial" w:eastAsia="Arial" w:hAnsi="Arial"/>
                <w:sz w:val="14"/>
                <w:szCs w:val="14"/>
                <w:b w:val="1"/>
                <w:bCs w:val="1"/>
                <w:color w:val="auto"/>
              </w:rPr>
              <w:t>September 27, 2025</w:t>
            </w:r>
          </w:p>
        </w:tc>
        <w:tc>
          <w:tcPr>
            <w:tcW w:w="1580" w:type="dxa"/>
            <w:vAlign w:val="bottom"/>
            <w:tcBorders>
              <w:bottom w:val="single" w:sz="8" w:color="FF4400"/>
            </w:tcBorders>
            <w:gridSpan w:val="2"/>
          </w:tcPr>
          <w:p>
            <w:pPr>
              <w:jc w:val="right"/>
              <w:ind w:right="34"/>
              <w:spacing w:after="0"/>
              <w:rPr>
                <w:sz w:val="20"/>
                <w:szCs w:val="20"/>
                <w:color w:val="auto"/>
              </w:rPr>
            </w:pPr>
            <w:r>
              <w:rPr>
                <w:rFonts w:ascii="Arial" w:cs="Arial" w:eastAsia="Arial" w:hAnsi="Arial"/>
                <w:sz w:val="14"/>
                <w:szCs w:val="14"/>
                <w:b w:val="1"/>
                <w:bCs w:val="1"/>
                <w:color w:val="auto"/>
              </w:rPr>
              <w:t>September 26, 2026</w:t>
            </w:r>
          </w:p>
        </w:tc>
        <w:tc>
          <w:tcPr>
            <w:tcW w:w="200" w:type="dxa"/>
            <w:vAlign w:val="bottom"/>
            <w:tcBorders>
              <w:bottom w:val="single" w:sz="8" w:color="FF4400"/>
            </w:tcBorders>
          </w:tcPr>
          <w:p>
            <w:pPr>
              <w:spacing w:after="0"/>
              <w:rPr>
                <w:sz w:val="17"/>
                <w:szCs w:val="17"/>
                <w:color w:val="auto"/>
              </w:rPr>
            </w:pPr>
          </w:p>
        </w:tc>
        <w:tc>
          <w:tcPr>
            <w:tcW w:w="1460" w:type="dxa"/>
            <w:vAlign w:val="bottom"/>
            <w:tcBorders>
              <w:bottom w:val="single" w:sz="8" w:color="FF4400"/>
            </w:tcBorders>
          </w:tcPr>
          <w:p>
            <w:pPr>
              <w:jc w:val="right"/>
              <w:ind w:right="34"/>
              <w:spacing w:after="0"/>
              <w:rPr>
                <w:sz w:val="20"/>
                <w:szCs w:val="20"/>
                <w:color w:val="auto"/>
              </w:rPr>
            </w:pPr>
            <w:r>
              <w:rPr>
                <w:rFonts w:ascii="Arial" w:cs="Arial" w:eastAsia="Arial" w:hAnsi="Arial"/>
                <w:sz w:val="14"/>
                <w:szCs w:val="14"/>
                <w:b w:val="1"/>
                <w:bCs w:val="1"/>
                <w:color w:val="auto"/>
              </w:rPr>
              <w:t>September 27, 2025</w:t>
            </w:r>
          </w:p>
        </w:tc>
      </w:tr>
      <w:tr>
        <w:trPr>
          <w:trHeight w:val="224"/>
        </w:trPr>
        <w:tc>
          <w:tcPr>
            <w:tcW w:w="46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Commercial Original Equipment</w:t>
            </w:r>
          </w:p>
        </w:tc>
        <w:tc>
          <w:tcPr>
            <w:tcW w:w="500" w:type="dxa"/>
            <w:vAlign w:val="bottom"/>
            <w:tcBorders>
              <w:bottom w:val="single" w:sz="8" w:color="BFBFBF"/>
            </w:tcBorders>
          </w:tcPr>
          <w:p>
            <w:pPr>
              <w:jc w:val="right"/>
              <w:ind w:right="29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BFBFBF"/>
            </w:tcBorders>
          </w:tcPr>
          <w:p>
            <w:pPr>
              <w:jc w:val="right"/>
              <w:ind w:right="14"/>
              <w:spacing w:after="0"/>
              <w:rPr>
                <w:sz w:val="20"/>
                <w:szCs w:val="20"/>
                <w:color w:val="auto"/>
              </w:rPr>
            </w:pPr>
            <w:r>
              <w:rPr>
                <w:rFonts w:ascii="Arial" w:cs="Arial" w:eastAsia="Arial" w:hAnsi="Arial"/>
                <w:sz w:val="18"/>
                <w:szCs w:val="18"/>
                <w:color w:val="auto"/>
              </w:rPr>
              <w:t>690</w:t>
            </w:r>
          </w:p>
        </w:tc>
        <w:tc>
          <w:tcPr>
            <w:tcW w:w="940" w:type="dxa"/>
            <w:vAlign w:val="bottom"/>
            <w:tcBorders>
              <w:bottom w:val="single" w:sz="8" w:color="BFBFBF"/>
            </w:tcBorders>
          </w:tcPr>
          <w:p>
            <w:pPr>
              <w:jc w:val="right"/>
              <w:ind w:right="656"/>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BFBFBF"/>
            </w:tcBorders>
          </w:tcPr>
          <w:p>
            <w:pPr>
              <w:spacing w:after="0"/>
              <w:rPr>
                <w:sz w:val="19"/>
                <w:szCs w:val="19"/>
                <w:color w:val="auto"/>
              </w:rPr>
            </w:pPr>
          </w:p>
        </w:tc>
        <w:tc>
          <w:tcPr>
            <w:tcW w:w="520" w:type="dxa"/>
            <w:vAlign w:val="bottom"/>
            <w:tcBorders>
              <w:bottom w:val="single" w:sz="8" w:color="BFBFBF"/>
            </w:tcBorders>
          </w:tcPr>
          <w:p>
            <w:pPr>
              <w:jc w:val="right"/>
              <w:ind w:right="3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BFBFBF"/>
            </w:tcBorders>
          </w:tcPr>
          <w:p>
            <w:pPr>
              <w:jc w:val="right"/>
              <w:ind w:right="14"/>
              <w:spacing w:after="0"/>
              <w:rPr>
                <w:sz w:val="20"/>
                <w:szCs w:val="20"/>
                <w:color w:val="auto"/>
              </w:rPr>
            </w:pPr>
            <w:r>
              <w:rPr>
                <w:rFonts w:ascii="Arial" w:cs="Arial" w:eastAsia="Arial" w:hAnsi="Arial"/>
                <w:sz w:val="18"/>
                <w:szCs w:val="18"/>
                <w:color w:val="auto"/>
              </w:rPr>
              <w:t>2,026</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1,914</w:t>
            </w:r>
          </w:p>
        </w:tc>
      </w:tr>
      <w:tr>
        <w:trPr>
          <w:trHeight w:val="223"/>
        </w:trPr>
        <w:tc>
          <w:tcPr>
            <w:tcW w:w="46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Commercial Aftermarket</w:t>
            </w:r>
          </w:p>
        </w:tc>
        <w:tc>
          <w:tcPr>
            <w:tcW w:w="500" w:type="dxa"/>
            <w:vAlign w:val="bottom"/>
            <w:tcBorders>
              <w:bottom w:val="single" w:sz="8" w:color="BFBFBF"/>
            </w:tcBorders>
          </w:tcPr>
          <w:p>
            <w:pPr>
              <w:spacing w:after="0"/>
              <w:rPr>
                <w:sz w:val="19"/>
                <w:szCs w:val="19"/>
                <w:color w:val="auto"/>
              </w:rPr>
            </w:pPr>
          </w:p>
        </w:tc>
        <w:tc>
          <w:tcPr>
            <w:tcW w:w="1080" w:type="dxa"/>
            <w:vAlign w:val="bottom"/>
            <w:tcBorders>
              <w:bottom w:val="single" w:sz="8" w:color="BFBFBF"/>
            </w:tcBorders>
          </w:tcPr>
          <w:p>
            <w:pPr>
              <w:jc w:val="right"/>
              <w:ind w:right="14"/>
              <w:spacing w:after="0"/>
              <w:rPr>
                <w:sz w:val="20"/>
                <w:szCs w:val="20"/>
                <w:color w:val="auto"/>
              </w:rPr>
            </w:pPr>
            <w:r>
              <w:rPr>
                <w:rFonts w:ascii="Arial" w:cs="Arial" w:eastAsia="Arial" w:hAnsi="Arial"/>
                <w:sz w:val="18"/>
                <w:szCs w:val="18"/>
                <w:color w:val="auto"/>
              </w:rPr>
              <w:t>2,126</w:t>
            </w:r>
          </w:p>
        </w:tc>
        <w:tc>
          <w:tcPr>
            <w:tcW w:w="940" w:type="dxa"/>
            <w:vAlign w:val="bottom"/>
            <w:tcBorders>
              <w:bottom w:val="single" w:sz="8" w:color="BFBFBF"/>
            </w:tcBorders>
          </w:tcPr>
          <w:p>
            <w:pPr>
              <w:spacing w:after="0"/>
              <w:rPr>
                <w:sz w:val="19"/>
                <w:szCs w:val="19"/>
                <w:color w:val="auto"/>
              </w:rPr>
            </w:pPr>
          </w:p>
        </w:tc>
        <w:tc>
          <w:tcPr>
            <w:tcW w:w="7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BFBFBF"/>
            </w:tcBorders>
          </w:tcPr>
          <w:p>
            <w:pPr>
              <w:spacing w:after="0"/>
              <w:rPr>
                <w:sz w:val="19"/>
                <w:szCs w:val="19"/>
                <w:color w:val="auto"/>
              </w:rPr>
            </w:pPr>
          </w:p>
        </w:tc>
        <w:tc>
          <w:tcPr>
            <w:tcW w:w="52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jc w:val="right"/>
              <w:ind w:right="14"/>
              <w:spacing w:after="0"/>
              <w:rPr>
                <w:sz w:val="20"/>
                <w:szCs w:val="20"/>
                <w:color w:val="auto"/>
              </w:rPr>
            </w:pPr>
            <w:r>
              <w:rPr>
                <w:rFonts w:ascii="Arial" w:cs="Arial" w:eastAsia="Arial" w:hAnsi="Arial"/>
                <w:sz w:val="18"/>
                <w:szCs w:val="18"/>
                <w:color w:val="auto"/>
              </w:rPr>
              <w:t>6,123</w:t>
            </w:r>
          </w:p>
        </w:tc>
        <w:tc>
          <w:tcPr>
            <w:tcW w:w="20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5,822</w:t>
            </w:r>
          </w:p>
        </w:tc>
      </w:tr>
      <w:tr>
        <w:trPr>
          <w:trHeight w:val="223"/>
        </w:trPr>
        <w:tc>
          <w:tcPr>
            <w:tcW w:w="468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Defense and Space</w:t>
            </w:r>
          </w:p>
        </w:tc>
        <w:tc>
          <w:tcPr>
            <w:tcW w:w="500" w:type="dxa"/>
            <w:vAlign w:val="bottom"/>
            <w:tcBorders>
              <w:bottom w:val="single" w:sz="8" w:color="384348"/>
            </w:tcBorders>
          </w:tcPr>
          <w:p>
            <w:pPr>
              <w:spacing w:after="0"/>
              <w:rPr>
                <w:sz w:val="19"/>
                <w:szCs w:val="19"/>
                <w:color w:val="auto"/>
              </w:rPr>
            </w:pPr>
          </w:p>
        </w:tc>
        <w:tc>
          <w:tcPr>
            <w:tcW w:w="1080" w:type="dxa"/>
            <w:vAlign w:val="bottom"/>
            <w:tcBorders>
              <w:bottom w:val="single" w:sz="8" w:color="384348"/>
            </w:tcBorders>
          </w:tcPr>
          <w:p>
            <w:pPr>
              <w:jc w:val="right"/>
              <w:ind w:right="14"/>
              <w:spacing w:after="0"/>
              <w:rPr>
                <w:sz w:val="20"/>
                <w:szCs w:val="20"/>
                <w:color w:val="auto"/>
              </w:rPr>
            </w:pPr>
            <w:r>
              <w:rPr>
                <w:rFonts w:ascii="Arial" w:cs="Arial" w:eastAsia="Arial" w:hAnsi="Arial"/>
                <w:sz w:val="18"/>
                <w:szCs w:val="18"/>
                <w:color w:val="auto"/>
              </w:rPr>
              <w:t>1,828</w:t>
            </w:r>
          </w:p>
        </w:tc>
        <w:tc>
          <w:tcPr>
            <w:tcW w:w="940" w:type="dxa"/>
            <w:vAlign w:val="bottom"/>
            <w:tcBorders>
              <w:bottom w:val="single" w:sz="8" w:color="384348"/>
            </w:tcBorders>
          </w:tcPr>
          <w:p>
            <w:pPr>
              <w:spacing w:after="0"/>
              <w:rPr>
                <w:sz w:val="19"/>
                <w:szCs w:val="19"/>
                <w:color w:val="auto"/>
              </w:rPr>
            </w:pPr>
          </w:p>
        </w:tc>
        <w:tc>
          <w:tcPr>
            <w:tcW w:w="7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jc w:val="right"/>
              <w:ind w:right="14"/>
              <w:spacing w:after="0"/>
              <w:rPr>
                <w:sz w:val="20"/>
                <w:szCs w:val="20"/>
                <w:color w:val="auto"/>
              </w:rPr>
            </w:pPr>
            <w:r>
              <w:rPr>
                <w:rFonts w:ascii="Arial" w:cs="Arial" w:eastAsia="Arial" w:hAnsi="Arial"/>
                <w:sz w:val="18"/>
                <w:szCs w:val="18"/>
                <w:color w:val="auto"/>
              </w:rPr>
              <w:t>5,369</w:t>
            </w:r>
          </w:p>
        </w:tc>
        <w:tc>
          <w:tcPr>
            <w:tcW w:w="20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5,160</w:t>
            </w:r>
          </w:p>
        </w:tc>
      </w:tr>
      <w:tr>
        <w:trPr>
          <w:trHeight w:val="223"/>
        </w:trPr>
        <w:tc>
          <w:tcPr>
            <w:tcW w:w="4680" w:type="dxa"/>
            <w:vAlign w:val="bottom"/>
            <w:tcBorders>
              <w:bottom w:val="single" w:sz="8" w:color="384348"/>
            </w:tcBorders>
          </w:tcPr>
          <w:p>
            <w:pPr>
              <w:ind w:left="360"/>
              <w:spacing w:after="0"/>
              <w:rPr>
                <w:sz w:val="20"/>
                <w:szCs w:val="20"/>
                <w:color w:val="auto"/>
              </w:rPr>
            </w:pPr>
            <w:r>
              <w:rPr>
                <w:rFonts w:ascii="Arial" w:cs="Arial" w:eastAsia="Arial" w:hAnsi="Arial"/>
                <w:sz w:val="18"/>
                <w:szCs w:val="18"/>
                <w:b w:val="1"/>
                <w:bCs w:val="1"/>
                <w:color w:val="auto"/>
              </w:rPr>
              <w:t>Net sales</w:t>
            </w:r>
          </w:p>
        </w:tc>
        <w:tc>
          <w:tcPr>
            <w:tcW w:w="500" w:type="dxa"/>
            <w:vAlign w:val="bottom"/>
            <w:tcBorders>
              <w:bottom w:val="single" w:sz="8" w:color="384348"/>
            </w:tcBorders>
          </w:tcPr>
          <w:p>
            <w:pPr>
              <w:jc w:val="right"/>
              <w:ind w:right="296"/>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384348"/>
            </w:tcBorders>
          </w:tcPr>
          <w:p>
            <w:pPr>
              <w:jc w:val="right"/>
              <w:ind w:right="14"/>
              <w:spacing w:after="0"/>
              <w:rPr>
                <w:sz w:val="20"/>
                <w:szCs w:val="20"/>
                <w:color w:val="auto"/>
              </w:rPr>
            </w:pPr>
            <w:r>
              <w:rPr>
                <w:rFonts w:ascii="Arial" w:cs="Arial" w:eastAsia="Arial" w:hAnsi="Arial"/>
                <w:sz w:val="18"/>
                <w:szCs w:val="18"/>
                <w:b w:val="1"/>
                <w:bCs w:val="1"/>
                <w:color w:val="auto"/>
              </w:rPr>
              <w:t>4,644</w:t>
            </w:r>
          </w:p>
        </w:tc>
        <w:tc>
          <w:tcPr>
            <w:tcW w:w="940" w:type="dxa"/>
            <w:vAlign w:val="bottom"/>
            <w:tcBorders>
              <w:bottom w:val="single" w:sz="8" w:color="384348"/>
            </w:tcBorders>
          </w:tcPr>
          <w:p>
            <w:pPr>
              <w:jc w:val="right"/>
              <w:ind w:right="656"/>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4,533</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jc w:val="right"/>
              <w:ind w:right="316"/>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384348"/>
            </w:tcBorders>
          </w:tcPr>
          <w:p>
            <w:pPr>
              <w:jc w:val="right"/>
              <w:ind w:right="14"/>
              <w:spacing w:after="0"/>
              <w:rPr>
                <w:sz w:val="20"/>
                <w:szCs w:val="20"/>
                <w:color w:val="auto"/>
              </w:rPr>
            </w:pPr>
            <w:r>
              <w:rPr>
                <w:rFonts w:ascii="Arial" w:cs="Arial" w:eastAsia="Arial" w:hAnsi="Arial"/>
                <w:sz w:val="18"/>
                <w:szCs w:val="18"/>
                <w:b w:val="1"/>
                <w:bCs w:val="1"/>
                <w:color w:val="auto"/>
              </w:rPr>
              <w:t>13,518</w:t>
            </w: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12,896</w:t>
            </w: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recognizes revenue arising from performance obligations outlined in contracts with its customers that are satisfied at a point in time and over time. The disaggregation of the Company's revenue based on timing of recognition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400" w:type="dxa"/>
            <w:vAlign w:val="bottom"/>
            <w:tcBorders>
              <w:bottom w:val="single" w:sz="8" w:color="FF4400"/>
            </w:tcBorders>
            <w:gridSpan w:val="2"/>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3420" w:type="dxa"/>
            <w:vAlign w:val="bottom"/>
            <w:tcBorders>
              <w:bottom w:val="single" w:sz="8" w:color="FF4400"/>
            </w:tcBorders>
            <w:gridSpan w:val="2"/>
          </w:tcPr>
          <w:p>
            <w:pPr>
              <w:jc w:val="right"/>
              <w:ind w:right="95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320" w:type="dxa"/>
            <w:vAlign w:val="bottom"/>
            <w:tcBorders>
              <w:bottom w:val="single" w:sz="8" w:color="FF4400"/>
            </w:tcBorders>
          </w:tcPr>
          <w:p>
            <w:pPr>
              <w:spacing w:after="0"/>
              <w:rPr>
                <w:sz w:val="17"/>
                <w:szCs w:val="17"/>
                <w:color w:val="auto"/>
              </w:rPr>
            </w:pPr>
          </w:p>
        </w:tc>
        <w:tc>
          <w:tcPr>
            <w:tcW w:w="1780" w:type="dxa"/>
            <w:vAlign w:val="bottom"/>
            <w:tcBorders>
              <w:bottom w:val="single" w:sz="8" w:color="FF4400"/>
            </w:tcBorders>
          </w:tcPr>
          <w:p>
            <w:pPr>
              <w:jc w:val="right"/>
              <w:ind w:right="194"/>
              <w:spacing w:after="0"/>
              <w:rPr>
                <w:sz w:val="20"/>
                <w:szCs w:val="20"/>
                <w:color w:val="auto"/>
              </w:rPr>
            </w:pPr>
            <w:r>
              <w:rPr>
                <w:rFonts w:ascii="Arial" w:cs="Arial" w:eastAsia="Arial" w:hAnsi="Arial"/>
                <w:sz w:val="14"/>
                <w:szCs w:val="14"/>
                <w:b w:val="1"/>
                <w:bCs w:val="1"/>
                <w:color w:val="auto"/>
              </w:rPr>
              <w:t>September 26, 2026</w:t>
            </w:r>
          </w:p>
        </w:tc>
        <w:tc>
          <w:tcPr>
            <w:tcW w:w="1720" w:type="dxa"/>
            <w:vAlign w:val="bottom"/>
            <w:tcBorders>
              <w:bottom w:val="single" w:sz="8" w:color="FF4400"/>
            </w:tcBorders>
            <w:gridSpan w:val="2"/>
          </w:tcPr>
          <w:p>
            <w:pPr>
              <w:ind w:left="120"/>
              <w:spacing w:after="0"/>
              <w:rPr>
                <w:sz w:val="20"/>
                <w:szCs w:val="20"/>
                <w:color w:val="auto"/>
              </w:rPr>
            </w:pPr>
            <w:r>
              <w:rPr>
                <w:rFonts w:ascii="Arial" w:cs="Arial" w:eastAsia="Arial" w:hAnsi="Arial"/>
                <w:sz w:val="14"/>
                <w:szCs w:val="14"/>
                <w:b w:val="1"/>
                <w:bCs w:val="1"/>
                <w:color w:val="auto"/>
              </w:rPr>
              <w:t>September 27, 2025</w:t>
            </w:r>
          </w:p>
        </w:tc>
        <w:tc>
          <w:tcPr>
            <w:tcW w:w="1780" w:type="dxa"/>
            <w:vAlign w:val="bottom"/>
            <w:tcBorders>
              <w:bottom w:val="single" w:sz="8" w:color="FF4400"/>
            </w:tcBorders>
          </w:tcPr>
          <w:p>
            <w:pPr>
              <w:jc w:val="right"/>
              <w:ind w:right="194"/>
              <w:spacing w:after="0"/>
              <w:rPr>
                <w:sz w:val="20"/>
                <w:szCs w:val="20"/>
                <w:color w:val="auto"/>
              </w:rPr>
            </w:pPr>
            <w:r>
              <w:rPr>
                <w:rFonts w:ascii="Arial" w:cs="Arial" w:eastAsia="Arial" w:hAnsi="Arial"/>
                <w:sz w:val="14"/>
                <w:szCs w:val="14"/>
                <w:b w:val="1"/>
                <w:bCs w:val="1"/>
                <w:color w:val="auto"/>
              </w:rPr>
              <w:t>September 26, 2026</w:t>
            </w:r>
          </w:p>
        </w:tc>
        <w:tc>
          <w:tcPr>
            <w:tcW w:w="1640" w:type="dxa"/>
            <w:vAlign w:val="bottom"/>
            <w:tcBorders>
              <w:bottom w:val="single" w:sz="8" w:color="FF4400"/>
            </w:tcBorders>
          </w:tcPr>
          <w:p>
            <w:pPr>
              <w:jc w:val="right"/>
              <w:ind w:right="72"/>
              <w:spacing w:after="0"/>
              <w:rPr>
                <w:sz w:val="20"/>
                <w:szCs w:val="20"/>
                <w:color w:val="auto"/>
              </w:rPr>
            </w:pPr>
            <w:r>
              <w:rPr>
                <w:rFonts w:ascii="Arial" w:cs="Arial" w:eastAsia="Arial" w:hAnsi="Arial"/>
                <w:sz w:val="14"/>
                <w:szCs w:val="14"/>
                <w:b w:val="1"/>
                <w:bCs w:val="1"/>
                <w:color w:val="auto"/>
              </w:rPr>
              <w:t>September 27, 2025</w:t>
            </w:r>
          </w:p>
        </w:tc>
      </w:tr>
      <w:tr>
        <w:trPr>
          <w:trHeight w:val="224"/>
        </w:trPr>
        <w:tc>
          <w:tcPr>
            <w:tcW w:w="43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Products, transferred point in time</w:t>
            </w:r>
          </w:p>
        </w:tc>
        <w:tc>
          <w:tcPr>
            <w:tcW w:w="1780" w:type="dxa"/>
            <w:vAlign w:val="bottom"/>
            <w:tcBorders>
              <w:bottom w:val="single" w:sz="8" w:color="BFBFBF"/>
            </w:tcBorders>
          </w:tcPr>
          <w:p>
            <w:pPr>
              <w:jc w:val="right"/>
              <w:ind w:right="54"/>
              <w:spacing w:after="0"/>
              <w:rPr>
                <w:sz w:val="20"/>
                <w:szCs w:val="20"/>
                <w:color w:val="auto"/>
              </w:rPr>
            </w:pPr>
            <w:r>
              <w:rPr>
                <w:rFonts w:ascii="Arial" w:cs="Arial" w:eastAsia="Arial" w:hAnsi="Arial"/>
                <w:sz w:val="18"/>
                <w:szCs w:val="18"/>
                <w:color w:val="auto"/>
              </w:rPr>
              <w:t>48 %</w:t>
            </w:r>
          </w:p>
        </w:tc>
        <w:tc>
          <w:tcPr>
            <w:tcW w:w="16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54"/>
              <w:spacing w:after="0"/>
              <w:rPr>
                <w:sz w:val="20"/>
                <w:szCs w:val="20"/>
                <w:color w:val="auto"/>
              </w:rPr>
            </w:pPr>
            <w:r>
              <w:rPr>
                <w:rFonts w:ascii="Arial" w:cs="Arial" w:eastAsia="Arial" w:hAnsi="Arial"/>
                <w:sz w:val="18"/>
                <w:szCs w:val="18"/>
                <w:color w:val="auto"/>
              </w:rPr>
              <w:t>48 %</w:t>
            </w:r>
          </w:p>
        </w:tc>
        <w:tc>
          <w:tcPr>
            <w:tcW w:w="1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48 %</w:t>
            </w:r>
          </w:p>
        </w:tc>
      </w:tr>
      <w:tr>
        <w:trPr>
          <w:trHeight w:val="223"/>
        </w:trPr>
        <w:tc>
          <w:tcPr>
            <w:tcW w:w="432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Products, transferred over time</w:t>
            </w:r>
          </w:p>
        </w:tc>
        <w:tc>
          <w:tcPr>
            <w:tcW w:w="1780" w:type="dxa"/>
            <w:vAlign w:val="bottom"/>
            <w:tcBorders>
              <w:bottom w:val="single" w:sz="8" w:color="384348"/>
            </w:tcBorders>
          </w:tcPr>
          <w:p>
            <w:pPr>
              <w:jc w:val="right"/>
              <w:ind w:right="274"/>
              <w:spacing w:after="0"/>
              <w:rPr>
                <w:sz w:val="20"/>
                <w:szCs w:val="20"/>
                <w:color w:val="auto"/>
              </w:rPr>
            </w:pPr>
            <w:r>
              <w:rPr>
                <w:rFonts w:ascii="Arial" w:cs="Arial" w:eastAsia="Arial" w:hAnsi="Arial"/>
                <w:sz w:val="18"/>
                <w:szCs w:val="18"/>
                <w:color w:val="auto"/>
              </w:rPr>
              <w:t>10</w:t>
            </w:r>
          </w:p>
        </w:tc>
        <w:tc>
          <w:tcPr>
            <w:tcW w:w="1620" w:type="dxa"/>
            <w:vAlign w:val="bottom"/>
            <w:tcBorders>
              <w:bottom w:val="single" w:sz="8" w:color="384348"/>
            </w:tcBorders>
          </w:tcPr>
          <w:p>
            <w:pPr>
              <w:jc w:val="right"/>
              <w:ind w:right="1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ind w:right="274"/>
              <w:spacing w:after="0"/>
              <w:rPr>
                <w:sz w:val="20"/>
                <w:szCs w:val="20"/>
                <w:color w:val="auto"/>
              </w:rPr>
            </w:pPr>
            <w:r>
              <w:rPr>
                <w:rFonts w:ascii="Arial" w:cs="Arial" w:eastAsia="Arial" w:hAnsi="Arial"/>
                <w:sz w:val="18"/>
                <w:szCs w:val="18"/>
                <w:color w:val="auto"/>
              </w:rPr>
              <w:t>9</w:t>
            </w:r>
          </w:p>
        </w:tc>
        <w:tc>
          <w:tcPr>
            <w:tcW w:w="1640" w:type="dxa"/>
            <w:vAlign w:val="bottom"/>
            <w:tcBorders>
              <w:bottom w:val="single" w:sz="8" w:color="384348"/>
            </w:tcBorders>
          </w:tcPr>
          <w:p>
            <w:pPr>
              <w:jc w:val="right"/>
              <w:ind w:right="152"/>
              <w:spacing w:after="0"/>
              <w:rPr>
                <w:sz w:val="20"/>
                <w:szCs w:val="20"/>
                <w:color w:val="auto"/>
              </w:rPr>
            </w:pPr>
            <w:r>
              <w:rPr>
                <w:rFonts w:ascii="Arial" w:cs="Arial" w:eastAsia="Arial" w:hAnsi="Arial"/>
                <w:sz w:val="18"/>
                <w:szCs w:val="18"/>
                <w:color w:val="auto"/>
              </w:rPr>
              <w:t>8</w:t>
            </w:r>
          </w:p>
        </w:tc>
      </w:tr>
      <w:tr>
        <w:trPr>
          <w:trHeight w:val="223"/>
        </w:trPr>
        <w:tc>
          <w:tcPr>
            <w:tcW w:w="432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Net product sales</w:t>
            </w:r>
          </w:p>
        </w:tc>
        <w:tc>
          <w:tcPr>
            <w:tcW w:w="1780" w:type="dxa"/>
            <w:vAlign w:val="bottom"/>
            <w:tcBorders>
              <w:bottom w:val="single" w:sz="8" w:color="384348"/>
            </w:tcBorders>
          </w:tcPr>
          <w:p>
            <w:pPr>
              <w:jc w:val="right"/>
              <w:ind w:right="274"/>
              <w:spacing w:after="0"/>
              <w:rPr>
                <w:sz w:val="20"/>
                <w:szCs w:val="20"/>
                <w:color w:val="auto"/>
              </w:rPr>
            </w:pPr>
            <w:r>
              <w:rPr>
                <w:rFonts w:ascii="Arial" w:cs="Arial" w:eastAsia="Arial" w:hAnsi="Arial"/>
                <w:sz w:val="18"/>
                <w:szCs w:val="18"/>
                <w:b w:val="1"/>
                <w:bCs w:val="1"/>
                <w:color w:val="auto"/>
              </w:rPr>
              <w:t>58</w:t>
            </w:r>
          </w:p>
        </w:tc>
        <w:tc>
          <w:tcPr>
            <w:tcW w:w="1620" w:type="dxa"/>
            <w:vAlign w:val="bottom"/>
            <w:tcBorders>
              <w:bottom w:val="single" w:sz="8" w:color="384348"/>
            </w:tcBorders>
          </w:tcPr>
          <w:p>
            <w:pPr>
              <w:jc w:val="right"/>
              <w:ind w:right="132"/>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ind w:right="274"/>
              <w:spacing w:after="0"/>
              <w:rPr>
                <w:sz w:val="20"/>
                <w:szCs w:val="20"/>
                <w:color w:val="auto"/>
              </w:rPr>
            </w:pPr>
            <w:r>
              <w:rPr>
                <w:rFonts w:ascii="Arial" w:cs="Arial" w:eastAsia="Arial" w:hAnsi="Arial"/>
                <w:sz w:val="18"/>
                <w:szCs w:val="18"/>
                <w:b w:val="1"/>
                <w:bCs w:val="1"/>
                <w:color w:val="auto"/>
              </w:rPr>
              <w:t>57</w:t>
            </w:r>
          </w:p>
        </w:tc>
        <w:tc>
          <w:tcPr>
            <w:tcW w:w="1640" w:type="dxa"/>
            <w:vAlign w:val="bottom"/>
            <w:tcBorders>
              <w:bottom w:val="single" w:sz="8" w:color="384348"/>
            </w:tcBorders>
          </w:tcPr>
          <w:p>
            <w:pPr>
              <w:jc w:val="right"/>
              <w:ind w:right="152"/>
              <w:spacing w:after="0"/>
              <w:rPr>
                <w:sz w:val="20"/>
                <w:szCs w:val="20"/>
                <w:color w:val="auto"/>
              </w:rPr>
            </w:pPr>
            <w:r>
              <w:rPr>
                <w:rFonts w:ascii="Arial" w:cs="Arial" w:eastAsia="Arial" w:hAnsi="Arial"/>
                <w:sz w:val="18"/>
                <w:szCs w:val="18"/>
                <w:b w:val="1"/>
                <w:bCs w:val="1"/>
                <w:color w:val="auto"/>
              </w:rPr>
              <w:t>56</w:t>
            </w:r>
          </w:p>
        </w:tc>
      </w:tr>
      <w:tr>
        <w:trPr>
          <w:trHeight w:val="223"/>
        </w:trPr>
        <w:tc>
          <w:tcPr>
            <w:tcW w:w="43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Services, transferred point in time</w:t>
            </w:r>
          </w:p>
        </w:tc>
        <w:tc>
          <w:tcPr>
            <w:tcW w:w="1780" w:type="dxa"/>
            <w:vAlign w:val="bottom"/>
            <w:tcBorders>
              <w:bottom w:val="single" w:sz="8" w:color="BFBFBF"/>
            </w:tcBorders>
          </w:tcPr>
          <w:p>
            <w:pPr>
              <w:jc w:val="right"/>
              <w:ind w:right="274"/>
              <w:spacing w:after="0"/>
              <w:rPr>
                <w:sz w:val="20"/>
                <w:szCs w:val="20"/>
                <w:color w:val="auto"/>
              </w:rPr>
            </w:pPr>
            <w:r>
              <w:rPr>
                <w:rFonts w:ascii="Arial" w:cs="Arial" w:eastAsia="Arial" w:hAnsi="Arial"/>
                <w:sz w:val="18"/>
                <w:szCs w:val="18"/>
                <w:color w:val="auto"/>
              </w:rPr>
              <w:t>2</w:t>
            </w:r>
          </w:p>
        </w:tc>
        <w:tc>
          <w:tcPr>
            <w:tcW w:w="1620" w:type="dxa"/>
            <w:vAlign w:val="bottom"/>
            <w:tcBorders>
              <w:bottom w:val="single" w:sz="8" w:color="BFBFBF"/>
            </w:tcBorders>
          </w:tcPr>
          <w:p>
            <w:pPr>
              <w:jc w:val="right"/>
              <w:ind w:right="1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ind w:right="274"/>
              <w:spacing w:after="0"/>
              <w:rPr>
                <w:sz w:val="20"/>
                <w:szCs w:val="20"/>
                <w:color w:val="auto"/>
              </w:rPr>
            </w:pPr>
            <w:r>
              <w:rPr>
                <w:rFonts w:ascii="Arial" w:cs="Arial" w:eastAsia="Arial" w:hAnsi="Arial"/>
                <w:sz w:val="18"/>
                <w:szCs w:val="18"/>
                <w:color w:val="auto"/>
              </w:rPr>
              <w:t>2</w:t>
            </w:r>
          </w:p>
        </w:tc>
        <w:tc>
          <w:tcPr>
            <w:tcW w:w="1640" w:type="dxa"/>
            <w:vAlign w:val="bottom"/>
            <w:tcBorders>
              <w:bottom w:val="single" w:sz="8" w:color="BFBFBF"/>
            </w:tcBorders>
          </w:tcPr>
          <w:p>
            <w:pPr>
              <w:jc w:val="right"/>
              <w:ind w:right="152"/>
              <w:spacing w:after="0"/>
              <w:rPr>
                <w:sz w:val="20"/>
                <w:szCs w:val="20"/>
                <w:color w:val="auto"/>
              </w:rPr>
            </w:pPr>
            <w:r>
              <w:rPr>
                <w:rFonts w:ascii="Arial" w:cs="Arial" w:eastAsia="Arial" w:hAnsi="Arial"/>
                <w:sz w:val="18"/>
                <w:szCs w:val="18"/>
                <w:color w:val="auto"/>
              </w:rPr>
              <w:t>3</w:t>
            </w:r>
          </w:p>
        </w:tc>
      </w:tr>
      <w:tr>
        <w:trPr>
          <w:trHeight w:val="223"/>
        </w:trPr>
        <w:tc>
          <w:tcPr>
            <w:tcW w:w="432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Services, transferred over time</w:t>
            </w:r>
          </w:p>
        </w:tc>
        <w:tc>
          <w:tcPr>
            <w:tcW w:w="1780" w:type="dxa"/>
            <w:vAlign w:val="bottom"/>
            <w:tcBorders>
              <w:bottom w:val="single" w:sz="8" w:color="384348"/>
            </w:tcBorders>
          </w:tcPr>
          <w:p>
            <w:pPr>
              <w:jc w:val="right"/>
              <w:ind w:right="274"/>
              <w:spacing w:after="0"/>
              <w:rPr>
                <w:sz w:val="20"/>
                <w:szCs w:val="20"/>
                <w:color w:val="auto"/>
              </w:rPr>
            </w:pPr>
            <w:r>
              <w:rPr>
                <w:rFonts w:ascii="Arial" w:cs="Arial" w:eastAsia="Arial" w:hAnsi="Arial"/>
                <w:sz w:val="18"/>
                <w:szCs w:val="18"/>
                <w:color w:val="auto"/>
              </w:rPr>
              <w:t>40</w:t>
            </w:r>
          </w:p>
        </w:tc>
        <w:tc>
          <w:tcPr>
            <w:tcW w:w="1620" w:type="dxa"/>
            <w:vAlign w:val="bottom"/>
            <w:tcBorders>
              <w:bottom w:val="single" w:sz="8" w:color="384348"/>
            </w:tcBorders>
          </w:tcPr>
          <w:p>
            <w:pPr>
              <w:jc w:val="right"/>
              <w:ind w:right="1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ind w:right="274"/>
              <w:spacing w:after="0"/>
              <w:rPr>
                <w:sz w:val="20"/>
                <w:szCs w:val="20"/>
                <w:color w:val="auto"/>
              </w:rPr>
            </w:pPr>
            <w:r>
              <w:rPr>
                <w:rFonts w:ascii="Arial" w:cs="Arial" w:eastAsia="Arial" w:hAnsi="Arial"/>
                <w:sz w:val="18"/>
                <w:szCs w:val="18"/>
                <w:color w:val="auto"/>
              </w:rPr>
              <w:t>41</w:t>
            </w:r>
          </w:p>
        </w:tc>
        <w:tc>
          <w:tcPr>
            <w:tcW w:w="1640" w:type="dxa"/>
            <w:vAlign w:val="bottom"/>
            <w:tcBorders>
              <w:bottom w:val="single" w:sz="8" w:color="384348"/>
            </w:tcBorders>
          </w:tcPr>
          <w:p>
            <w:pPr>
              <w:jc w:val="right"/>
              <w:ind w:right="152"/>
              <w:spacing w:after="0"/>
              <w:rPr>
                <w:sz w:val="20"/>
                <w:szCs w:val="20"/>
                <w:color w:val="auto"/>
              </w:rPr>
            </w:pPr>
            <w:r>
              <w:rPr>
                <w:rFonts w:ascii="Arial" w:cs="Arial" w:eastAsia="Arial" w:hAnsi="Arial"/>
                <w:sz w:val="18"/>
                <w:szCs w:val="18"/>
                <w:color w:val="auto"/>
              </w:rPr>
              <w:t>41</w:t>
            </w:r>
          </w:p>
        </w:tc>
      </w:tr>
      <w:tr>
        <w:trPr>
          <w:trHeight w:val="223"/>
        </w:trPr>
        <w:tc>
          <w:tcPr>
            <w:tcW w:w="432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Net service sales</w:t>
            </w:r>
          </w:p>
        </w:tc>
        <w:tc>
          <w:tcPr>
            <w:tcW w:w="1780" w:type="dxa"/>
            <w:vAlign w:val="bottom"/>
            <w:tcBorders>
              <w:bottom w:val="single" w:sz="8" w:color="384348"/>
            </w:tcBorders>
          </w:tcPr>
          <w:p>
            <w:pPr>
              <w:jc w:val="right"/>
              <w:ind w:right="274"/>
              <w:spacing w:after="0"/>
              <w:rPr>
                <w:sz w:val="20"/>
                <w:szCs w:val="20"/>
                <w:color w:val="auto"/>
              </w:rPr>
            </w:pPr>
            <w:r>
              <w:rPr>
                <w:rFonts w:ascii="Arial" w:cs="Arial" w:eastAsia="Arial" w:hAnsi="Arial"/>
                <w:sz w:val="18"/>
                <w:szCs w:val="18"/>
                <w:b w:val="1"/>
                <w:bCs w:val="1"/>
                <w:color w:val="auto"/>
              </w:rPr>
              <w:t>42</w:t>
            </w:r>
          </w:p>
        </w:tc>
        <w:tc>
          <w:tcPr>
            <w:tcW w:w="1620" w:type="dxa"/>
            <w:vAlign w:val="bottom"/>
            <w:tcBorders>
              <w:bottom w:val="single" w:sz="8" w:color="384348"/>
            </w:tcBorders>
          </w:tcPr>
          <w:p>
            <w:pPr>
              <w:jc w:val="right"/>
              <w:ind w:right="132"/>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ind w:right="274"/>
              <w:spacing w:after="0"/>
              <w:rPr>
                <w:sz w:val="20"/>
                <w:szCs w:val="20"/>
                <w:color w:val="auto"/>
              </w:rPr>
            </w:pPr>
            <w:r>
              <w:rPr>
                <w:rFonts w:ascii="Arial" w:cs="Arial" w:eastAsia="Arial" w:hAnsi="Arial"/>
                <w:sz w:val="18"/>
                <w:szCs w:val="18"/>
                <w:b w:val="1"/>
                <w:bCs w:val="1"/>
                <w:color w:val="auto"/>
              </w:rPr>
              <w:t>43</w:t>
            </w:r>
          </w:p>
        </w:tc>
        <w:tc>
          <w:tcPr>
            <w:tcW w:w="1640" w:type="dxa"/>
            <w:vAlign w:val="bottom"/>
            <w:tcBorders>
              <w:bottom w:val="single" w:sz="8" w:color="384348"/>
            </w:tcBorders>
          </w:tcPr>
          <w:p>
            <w:pPr>
              <w:jc w:val="right"/>
              <w:ind w:right="152"/>
              <w:spacing w:after="0"/>
              <w:rPr>
                <w:sz w:val="20"/>
                <w:szCs w:val="20"/>
                <w:color w:val="auto"/>
              </w:rPr>
            </w:pPr>
            <w:r>
              <w:rPr>
                <w:rFonts w:ascii="Arial" w:cs="Arial" w:eastAsia="Arial" w:hAnsi="Arial"/>
                <w:sz w:val="18"/>
                <w:szCs w:val="18"/>
                <w:b w:val="1"/>
                <w:bCs w:val="1"/>
                <w:color w:val="auto"/>
              </w:rPr>
              <w:t>44</w:t>
            </w:r>
          </w:p>
        </w:tc>
      </w:tr>
      <w:tr>
        <w:trPr>
          <w:trHeight w:val="223"/>
        </w:trPr>
        <w:tc>
          <w:tcPr>
            <w:tcW w:w="432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Net sales</w:t>
            </w:r>
          </w:p>
        </w:tc>
        <w:tc>
          <w:tcPr>
            <w:tcW w:w="1780" w:type="dxa"/>
            <w:vAlign w:val="bottom"/>
            <w:tcBorders>
              <w:bottom w:val="single" w:sz="8" w:color="384348"/>
            </w:tcBorders>
          </w:tcPr>
          <w:p>
            <w:pPr>
              <w:jc w:val="right"/>
              <w:ind w:right="54"/>
              <w:spacing w:after="0"/>
              <w:rPr>
                <w:sz w:val="20"/>
                <w:szCs w:val="20"/>
                <w:color w:val="auto"/>
              </w:rPr>
            </w:pPr>
            <w:r>
              <w:rPr>
                <w:rFonts w:ascii="Arial" w:cs="Arial" w:eastAsia="Arial" w:hAnsi="Arial"/>
                <w:sz w:val="18"/>
                <w:szCs w:val="18"/>
                <w:b w:val="1"/>
                <w:bCs w:val="1"/>
                <w:color w:val="auto"/>
              </w:rPr>
              <w:t>100 %</w:t>
            </w:r>
          </w:p>
        </w:tc>
        <w:tc>
          <w:tcPr>
            <w:tcW w:w="16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ind w:right="54"/>
              <w:spacing w:after="0"/>
              <w:rPr>
                <w:sz w:val="20"/>
                <w:szCs w:val="20"/>
                <w:color w:val="auto"/>
              </w:rPr>
            </w:pPr>
            <w:r>
              <w:rPr>
                <w:rFonts w:ascii="Arial" w:cs="Arial" w:eastAsia="Arial" w:hAnsi="Arial"/>
                <w:sz w:val="18"/>
                <w:szCs w:val="18"/>
                <w:b w:val="1"/>
                <w:bCs w:val="1"/>
                <w:color w:val="auto"/>
              </w:rPr>
              <w:t>100 %</w:t>
            </w:r>
          </w:p>
        </w:tc>
        <w:tc>
          <w:tcPr>
            <w:tcW w:w="16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100 %</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Contract assets reflect the recognition of revenue from the satisfaction of performance obligations in advance of customer billings. Contract liabilities are recorded when customers are billed in accordance with the contract prior to the recognition of revenue. Contract balances are classified as assets or liabilities on a contract-by-contract basis and are recorded in the Condensed Consolidated Balance Sheets within Current contract assets, Other assets, Current contract liabilities, and Contract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contract assets and liabilities balances: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0" w:type="dxa"/>
            <w:vAlign w:val="bottom"/>
            <w:tcBorders>
              <w:bottom w:val="single" w:sz="8" w:color="FF4400"/>
            </w:tcBorders>
          </w:tcPr>
          <w:p>
            <w:pPr>
              <w:spacing w:after="0"/>
              <w:rPr>
                <w:sz w:val="17"/>
                <w:szCs w:val="17"/>
                <w:color w:val="auto"/>
              </w:rPr>
            </w:pPr>
          </w:p>
        </w:tc>
        <w:tc>
          <w:tcPr>
            <w:tcW w:w="3440" w:type="dxa"/>
            <w:vAlign w:val="bottom"/>
            <w:tcBorders>
              <w:bottom w:val="single" w:sz="8" w:color="FF4400"/>
            </w:tcBorders>
          </w:tcPr>
          <w:p>
            <w:pPr>
              <w:spacing w:after="0"/>
              <w:rPr>
                <w:sz w:val="17"/>
                <w:szCs w:val="17"/>
                <w:color w:val="auto"/>
              </w:rPr>
            </w:pPr>
          </w:p>
        </w:tc>
        <w:tc>
          <w:tcPr>
            <w:tcW w:w="1200" w:type="dxa"/>
            <w:vAlign w:val="bottom"/>
            <w:tcBorders>
              <w:bottom w:val="single" w:sz="8" w:color="FF4400"/>
            </w:tcBorders>
          </w:tcPr>
          <w:p>
            <w:pPr>
              <w:jc w:val="right"/>
              <w:ind w:right="532"/>
              <w:spacing w:after="0"/>
              <w:rPr>
                <w:sz w:val="20"/>
                <w:szCs w:val="20"/>
                <w:color w:val="auto"/>
              </w:rPr>
            </w:pPr>
            <w:r>
              <w:rPr>
                <w:rFonts w:ascii="Arial" w:cs="Arial" w:eastAsia="Arial" w:hAnsi="Arial"/>
                <w:sz w:val="14"/>
                <w:szCs w:val="14"/>
                <w:b w:val="1"/>
                <w:bCs w:val="1"/>
                <w:color w:val="auto"/>
              </w:rPr>
              <w:t>2026</w:t>
            </w:r>
          </w:p>
        </w:tc>
      </w:tr>
      <w:tr>
        <w:trPr>
          <w:trHeight w:val="224"/>
        </w:trPr>
        <w:tc>
          <w:tcPr>
            <w:tcW w:w="660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Contract assets - January 1</w:t>
            </w:r>
          </w:p>
        </w:tc>
        <w:tc>
          <w:tcPr>
            <w:tcW w:w="3440" w:type="dxa"/>
            <w:vAlign w:val="bottom"/>
            <w:tcBorders>
              <w:bottom w:val="single" w:sz="8" w:color="BFBFBF"/>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1,373</w:t>
            </w:r>
          </w:p>
        </w:tc>
      </w:tr>
      <w:tr>
        <w:trPr>
          <w:trHeight w:val="223"/>
        </w:trPr>
        <w:tc>
          <w:tcPr>
            <w:tcW w:w="660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Contract assets - September 26</w:t>
            </w:r>
          </w:p>
        </w:tc>
        <w:tc>
          <w:tcPr>
            <w:tcW w:w="3440" w:type="dxa"/>
            <w:vAlign w:val="bottom"/>
            <w:tcBorders>
              <w:bottom w:val="single" w:sz="8" w:color="384348"/>
            </w:tcBorders>
          </w:tcPr>
          <w:p>
            <w:pPr>
              <w:spacing w:after="0"/>
              <w:rPr>
                <w:sz w:val="19"/>
                <w:szCs w:val="19"/>
                <w:color w:val="auto"/>
              </w:rPr>
            </w:pP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1,467</w:t>
            </w:r>
          </w:p>
        </w:tc>
      </w:tr>
      <w:tr>
        <w:trPr>
          <w:trHeight w:val="223"/>
        </w:trPr>
        <w:tc>
          <w:tcPr>
            <w:tcW w:w="66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Change in Contract assets - increase</w:t>
            </w:r>
          </w:p>
        </w:tc>
        <w:tc>
          <w:tcPr>
            <w:tcW w:w="3440" w:type="dxa"/>
            <w:vAlign w:val="bottom"/>
            <w:tcBorders>
              <w:bottom w:val="single" w:sz="8" w:color="384348"/>
            </w:tcBorders>
          </w:tcPr>
          <w:p>
            <w:pPr>
              <w:spacing w:after="0"/>
              <w:rPr>
                <w:sz w:val="19"/>
                <w:szCs w:val="19"/>
                <w:color w:val="auto"/>
              </w:rPr>
            </w:pP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94</w:t>
            </w:r>
          </w:p>
        </w:tc>
      </w:tr>
      <w:tr>
        <w:trPr>
          <w:trHeight w:val="223"/>
        </w:trPr>
        <w:tc>
          <w:tcPr>
            <w:tcW w:w="660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Contract liabilities - January 1</w:t>
            </w:r>
          </w:p>
        </w:tc>
        <w:tc>
          <w:tcPr>
            <w:tcW w:w="344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(2,680)</w:t>
            </w:r>
          </w:p>
        </w:tc>
      </w:tr>
      <w:tr>
        <w:trPr>
          <w:trHeight w:val="223"/>
        </w:trPr>
        <w:tc>
          <w:tcPr>
            <w:tcW w:w="660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Contract liabilities - September 26</w:t>
            </w:r>
          </w:p>
        </w:tc>
        <w:tc>
          <w:tcPr>
            <w:tcW w:w="3440" w:type="dxa"/>
            <w:vAlign w:val="bottom"/>
            <w:tcBorders>
              <w:bottom w:val="single" w:sz="8" w:color="384348"/>
            </w:tcBorders>
          </w:tcPr>
          <w:p>
            <w:pPr>
              <w:spacing w:after="0"/>
              <w:rPr>
                <w:sz w:val="19"/>
                <w:szCs w:val="19"/>
                <w:color w:val="auto"/>
              </w:rPr>
            </w:pP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(2,687)</w:t>
            </w:r>
          </w:p>
        </w:tc>
      </w:tr>
      <w:tr>
        <w:trPr>
          <w:trHeight w:val="223"/>
        </w:trPr>
        <w:tc>
          <w:tcPr>
            <w:tcW w:w="66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Change in Contract liabilities - (increase)</w:t>
            </w:r>
          </w:p>
        </w:tc>
        <w:tc>
          <w:tcPr>
            <w:tcW w:w="3440" w:type="dxa"/>
            <w:vAlign w:val="bottom"/>
            <w:tcBorders>
              <w:bottom w:val="single" w:sz="8" w:color="384348"/>
            </w:tcBorders>
          </w:tcPr>
          <w:p>
            <w:pPr>
              <w:spacing w:after="0"/>
              <w:rPr>
                <w:sz w:val="19"/>
                <w:szCs w:val="19"/>
                <w:color w:val="auto"/>
              </w:rPr>
            </w:pP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(7)</w:t>
            </w:r>
          </w:p>
        </w:tc>
      </w:tr>
      <w:tr>
        <w:trPr>
          <w:trHeight w:val="223"/>
        </w:trPr>
        <w:tc>
          <w:tcPr>
            <w:tcW w:w="660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Net change</w:t>
            </w:r>
          </w:p>
        </w:tc>
        <w:tc>
          <w:tcPr>
            <w:tcW w:w="3440" w:type="dxa"/>
            <w:vAlign w:val="bottom"/>
            <w:tcBorders>
              <w:bottom w:val="single" w:sz="8" w:color="384348"/>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87</w:t>
            </w:r>
          </w:p>
        </w:tc>
      </w:tr>
      <w:tr>
        <w:trPr>
          <w:trHeight w:val="397"/>
        </w:trPr>
        <w:tc>
          <w:tcPr>
            <w:tcW w:w="6600" w:type="dxa"/>
            <w:vAlign w:val="bottom"/>
            <w:tcBorders>
              <w:bottom w:val="single" w:sz="8" w:color="FF4400"/>
            </w:tcBorders>
          </w:tcPr>
          <w:p>
            <w:pPr>
              <w:spacing w:after="0"/>
              <w:rPr>
                <w:sz w:val="24"/>
                <w:szCs w:val="24"/>
                <w:color w:val="auto"/>
              </w:rPr>
            </w:pPr>
          </w:p>
        </w:tc>
        <w:tc>
          <w:tcPr>
            <w:tcW w:w="3440" w:type="dxa"/>
            <w:vAlign w:val="bottom"/>
            <w:tcBorders>
              <w:bottom w:val="single" w:sz="8" w:color="FF4400"/>
            </w:tcBorders>
          </w:tcPr>
          <w:p>
            <w:pPr>
              <w:spacing w:after="0"/>
              <w:rPr>
                <w:sz w:val="24"/>
                <w:szCs w:val="24"/>
                <w:color w:val="auto"/>
              </w:rPr>
            </w:pPr>
          </w:p>
        </w:tc>
        <w:tc>
          <w:tcPr>
            <w:tcW w:w="1200" w:type="dxa"/>
            <w:vAlign w:val="bottom"/>
            <w:tcBorders>
              <w:bottom w:val="single" w:sz="8" w:color="FF4400"/>
            </w:tcBorders>
          </w:tcPr>
          <w:p>
            <w:pPr>
              <w:jc w:val="right"/>
              <w:ind w:right="532"/>
              <w:spacing w:after="0"/>
              <w:rPr>
                <w:sz w:val="20"/>
                <w:szCs w:val="20"/>
                <w:color w:val="auto"/>
              </w:rPr>
            </w:pPr>
            <w:r>
              <w:rPr>
                <w:rFonts w:ascii="Arial" w:cs="Arial" w:eastAsia="Arial" w:hAnsi="Arial"/>
                <w:sz w:val="14"/>
                <w:szCs w:val="14"/>
                <w:b w:val="1"/>
                <w:bCs w:val="1"/>
                <w:color w:val="auto"/>
              </w:rPr>
              <w:t>2025</w:t>
            </w:r>
          </w:p>
        </w:tc>
      </w:tr>
      <w:tr>
        <w:trPr>
          <w:trHeight w:val="224"/>
        </w:trPr>
        <w:tc>
          <w:tcPr>
            <w:tcW w:w="660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Contract assets - January 1</w:t>
            </w:r>
          </w:p>
        </w:tc>
        <w:tc>
          <w:tcPr>
            <w:tcW w:w="3440" w:type="dxa"/>
            <w:vAlign w:val="bottom"/>
            <w:tcBorders>
              <w:bottom w:val="single" w:sz="8" w:color="BFBFBF"/>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1,219</w:t>
            </w:r>
          </w:p>
        </w:tc>
      </w:tr>
      <w:tr>
        <w:trPr>
          <w:trHeight w:val="223"/>
        </w:trPr>
        <w:tc>
          <w:tcPr>
            <w:tcW w:w="660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Contract assets - September 27</w:t>
            </w:r>
          </w:p>
        </w:tc>
        <w:tc>
          <w:tcPr>
            <w:tcW w:w="3440" w:type="dxa"/>
            <w:vAlign w:val="bottom"/>
            <w:tcBorders>
              <w:bottom w:val="single" w:sz="8" w:color="384348"/>
            </w:tcBorders>
          </w:tcPr>
          <w:p>
            <w:pPr>
              <w:spacing w:after="0"/>
              <w:rPr>
                <w:sz w:val="19"/>
                <w:szCs w:val="19"/>
                <w:color w:val="auto"/>
              </w:rPr>
            </w:pP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1,301</w:t>
            </w:r>
          </w:p>
        </w:tc>
      </w:tr>
      <w:tr>
        <w:trPr>
          <w:trHeight w:val="223"/>
        </w:trPr>
        <w:tc>
          <w:tcPr>
            <w:tcW w:w="66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Change in Contract assets - increase</w:t>
            </w:r>
          </w:p>
        </w:tc>
        <w:tc>
          <w:tcPr>
            <w:tcW w:w="3440" w:type="dxa"/>
            <w:vAlign w:val="bottom"/>
            <w:tcBorders>
              <w:bottom w:val="single" w:sz="8" w:color="384348"/>
            </w:tcBorders>
          </w:tcPr>
          <w:p>
            <w:pPr>
              <w:spacing w:after="0"/>
              <w:rPr>
                <w:sz w:val="19"/>
                <w:szCs w:val="19"/>
                <w:color w:val="auto"/>
              </w:rPr>
            </w:pP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82</w:t>
            </w:r>
          </w:p>
        </w:tc>
      </w:tr>
      <w:tr>
        <w:trPr>
          <w:trHeight w:val="223"/>
        </w:trPr>
        <w:tc>
          <w:tcPr>
            <w:tcW w:w="660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Contract liabilities - January 1</w:t>
            </w:r>
          </w:p>
        </w:tc>
        <w:tc>
          <w:tcPr>
            <w:tcW w:w="344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(2,401)</w:t>
            </w:r>
          </w:p>
        </w:tc>
      </w:tr>
      <w:tr>
        <w:trPr>
          <w:trHeight w:val="223"/>
        </w:trPr>
        <w:tc>
          <w:tcPr>
            <w:tcW w:w="660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Contract liabilities - September 27</w:t>
            </w:r>
          </w:p>
        </w:tc>
        <w:tc>
          <w:tcPr>
            <w:tcW w:w="3440" w:type="dxa"/>
            <w:vAlign w:val="bottom"/>
            <w:tcBorders>
              <w:bottom w:val="single" w:sz="8" w:color="384348"/>
            </w:tcBorders>
          </w:tcPr>
          <w:p>
            <w:pPr>
              <w:spacing w:after="0"/>
              <w:rPr>
                <w:sz w:val="19"/>
                <w:szCs w:val="19"/>
                <w:color w:val="auto"/>
              </w:rPr>
            </w:pP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(2,414)</w:t>
            </w:r>
          </w:p>
        </w:tc>
      </w:tr>
      <w:tr>
        <w:trPr>
          <w:trHeight w:val="223"/>
        </w:trPr>
        <w:tc>
          <w:tcPr>
            <w:tcW w:w="66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Change in Contract liabilities - (increase)</w:t>
            </w:r>
          </w:p>
        </w:tc>
        <w:tc>
          <w:tcPr>
            <w:tcW w:w="3440" w:type="dxa"/>
            <w:vAlign w:val="bottom"/>
            <w:tcBorders>
              <w:bottom w:val="single" w:sz="8" w:color="384348"/>
            </w:tcBorders>
          </w:tcPr>
          <w:p>
            <w:pPr>
              <w:spacing w:after="0"/>
              <w:rPr>
                <w:sz w:val="19"/>
                <w:szCs w:val="19"/>
                <w:color w:val="auto"/>
              </w:rPr>
            </w:pP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(13)</w:t>
            </w:r>
          </w:p>
        </w:tc>
      </w:tr>
      <w:tr>
        <w:trPr>
          <w:trHeight w:val="223"/>
        </w:trPr>
        <w:tc>
          <w:tcPr>
            <w:tcW w:w="660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Net change</w:t>
            </w:r>
          </w:p>
        </w:tc>
        <w:tc>
          <w:tcPr>
            <w:tcW w:w="3440" w:type="dxa"/>
            <w:vAlign w:val="bottom"/>
            <w:tcBorders>
              <w:bottom w:val="single" w:sz="8" w:color="384348"/>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69</w:t>
            </w: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and nine months ended September 26, 2026, the Company recognized revenue of $158 million and $827 million, respectively, that was previously included in the beginning balance of Contract liabilities. For the three and nine months ended September 27, 2025, the Company recognized revenue of $167 million and $778 million, respectively, that was previously included in the beginning balance of Contract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September 26, 2026, the Company’s remaining performance obligations, which is the aggregate amount of total contract transaction price that is unsatisfied or partially unsatisfied, was approximately $19.3 billion. Remaining performance obligations exclude transaction price associated with revenue which is recognized on a right to invoice basis for certain long-term contracts. Performance obligations expected to be satisfied within one year and greater than one year are 59% and 41%,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(Income) Expense,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500" w:type="dxa"/>
            <w:vAlign w:val="bottom"/>
            <w:tcBorders>
              <w:bottom w:val="single" w:sz="8" w:color="FF4400"/>
            </w:tcBorders>
          </w:tcPr>
          <w:p>
            <w:pPr>
              <w:spacing w:after="0"/>
              <w:rPr>
                <w:sz w:val="17"/>
                <w:szCs w:val="17"/>
                <w:color w:val="auto"/>
              </w:rPr>
            </w:pPr>
          </w:p>
        </w:tc>
        <w:tc>
          <w:tcPr>
            <w:tcW w:w="2080" w:type="dxa"/>
            <w:vAlign w:val="bottom"/>
            <w:tcBorders>
              <w:bottom w:val="single" w:sz="8" w:color="FF4400"/>
            </w:tcBorders>
            <w:gridSpan w:val="2"/>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FF4400"/>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FF4400"/>
            </w:tcBorders>
          </w:tcPr>
          <w:p>
            <w:pPr>
              <w:spacing w:after="0"/>
              <w:rPr>
                <w:sz w:val="17"/>
                <w:szCs w:val="17"/>
                <w:color w:val="auto"/>
              </w:rPr>
            </w:pPr>
          </w:p>
        </w:tc>
        <w:tc>
          <w:tcPr>
            <w:tcW w:w="2040" w:type="dxa"/>
            <w:vAlign w:val="bottom"/>
            <w:tcBorders>
              <w:bottom w:val="single" w:sz="8" w:color="FF4400"/>
            </w:tcBorders>
            <w:gridSpan w:val="2"/>
          </w:tcPr>
          <w:p>
            <w:pPr>
              <w:jc w:val="right"/>
              <w:ind w:right="196"/>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Borders>
              <w:bottom w:val="single" w:sz="8" w:color="FF4400"/>
            </w:tcBorders>
          </w:tcPr>
          <w:p>
            <w:pPr>
              <w:spacing w:after="0"/>
              <w:rPr>
                <w:sz w:val="17"/>
                <w:szCs w:val="17"/>
                <w:color w:val="auto"/>
              </w:rPr>
            </w:pPr>
          </w:p>
        </w:tc>
      </w:tr>
      <w:tr>
        <w:trPr>
          <w:trHeight w:val="196"/>
        </w:trPr>
        <w:tc>
          <w:tcPr>
            <w:tcW w:w="4700" w:type="dxa"/>
            <w:vAlign w:val="bottom"/>
            <w:tcBorders>
              <w:bottom w:val="single" w:sz="8" w:color="FF4400"/>
            </w:tcBorders>
          </w:tcPr>
          <w:p>
            <w:pPr>
              <w:spacing w:after="0"/>
              <w:rPr>
                <w:sz w:val="17"/>
                <w:szCs w:val="17"/>
                <w:color w:val="auto"/>
              </w:rPr>
            </w:pPr>
          </w:p>
        </w:tc>
        <w:tc>
          <w:tcPr>
            <w:tcW w:w="1600" w:type="dxa"/>
            <w:vAlign w:val="bottom"/>
            <w:tcBorders>
              <w:bottom w:val="single" w:sz="8" w:color="FF4400"/>
            </w:tcBorders>
            <w:gridSpan w:val="2"/>
          </w:tcPr>
          <w:p>
            <w:pPr>
              <w:jc w:val="right"/>
              <w:ind w:right="73"/>
              <w:spacing w:after="0"/>
              <w:rPr>
                <w:sz w:val="20"/>
                <w:szCs w:val="20"/>
                <w:color w:val="auto"/>
              </w:rPr>
            </w:pPr>
            <w:r>
              <w:rPr>
                <w:rFonts w:ascii="Arial" w:cs="Arial" w:eastAsia="Arial" w:hAnsi="Arial"/>
                <w:sz w:val="14"/>
                <w:szCs w:val="14"/>
                <w:b w:val="1"/>
                <w:bCs w:val="1"/>
                <w:color w:val="auto"/>
              </w:rPr>
              <w:t>September 26, 2026</w:t>
            </w:r>
          </w:p>
        </w:tc>
        <w:tc>
          <w:tcPr>
            <w:tcW w:w="1720" w:type="dxa"/>
            <w:vAlign w:val="bottom"/>
            <w:tcBorders>
              <w:bottom w:val="single" w:sz="8" w:color="FF4400"/>
            </w:tcBorders>
            <w:gridSpan w:val="3"/>
          </w:tcPr>
          <w:p>
            <w:pPr>
              <w:ind w:left="160"/>
              <w:spacing w:after="0"/>
              <w:rPr>
                <w:sz w:val="20"/>
                <w:szCs w:val="20"/>
                <w:color w:val="auto"/>
              </w:rPr>
            </w:pPr>
            <w:r>
              <w:rPr>
                <w:rFonts w:ascii="Arial" w:cs="Arial" w:eastAsia="Arial" w:hAnsi="Arial"/>
                <w:sz w:val="14"/>
                <w:szCs w:val="14"/>
                <w:b w:val="1"/>
                <w:bCs w:val="1"/>
                <w:color w:val="auto"/>
              </w:rPr>
              <w:t>September 27, 2025</w:t>
            </w:r>
          </w:p>
        </w:tc>
        <w:tc>
          <w:tcPr>
            <w:tcW w:w="1600" w:type="dxa"/>
            <w:vAlign w:val="bottom"/>
            <w:tcBorders>
              <w:bottom w:val="single" w:sz="8" w:color="FF4400"/>
            </w:tcBorders>
            <w:gridSpan w:val="2"/>
          </w:tcPr>
          <w:p>
            <w:pPr>
              <w:jc w:val="right"/>
              <w:ind w:right="73"/>
              <w:spacing w:after="0"/>
              <w:rPr>
                <w:sz w:val="20"/>
                <w:szCs w:val="20"/>
                <w:color w:val="auto"/>
              </w:rPr>
            </w:pPr>
            <w:r>
              <w:rPr>
                <w:rFonts w:ascii="Arial" w:cs="Arial" w:eastAsia="Arial" w:hAnsi="Arial"/>
                <w:sz w:val="14"/>
                <w:szCs w:val="14"/>
                <w:b w:val="1"/>
                <w:bCs w:val="1"/>
                <w:color w:val="auto"/>
              </w:rPr>
              <w:t>September 26, 2026</w:t>
            </w:r>
          </w:p>
        </w:tc>
        <w:tc>
          <w:tcPr>
            <w:tcW w:w="1620" w:type="dxa"/>
            <w:vAlign w:val="bottom"/>
            <w:tcBorders>
              <w:bottom w:val="single" w:sz="8" w:color="FF4400"/>
            </w:tcBorders>
            <w:gridSpan w:val="2"/>
          </w:tcPr>
          <w:p>
            <w:pPr>
              <w:jc w:val="right"/>
              <w:ind w:right="30"/>
              <w:spacing w:after="0"/>
              <w:rPr>
                <w:sz w:val="20"/>
                <w:szCs w:val="20"/>
                <w:color w:val="auto"/>
              </w:rPr>
            </w:pPr>
            <w:r>
              <w:rPr>
                <w:rFonts w:ascii="Arial" w:cs="Arial" w:eastAsia="Arial" w:hAnsi="Arial"/>
                <w:sz w:val="14"/>
                <w:szCs w:val="14"/>
                <w:b w:val="1"/>
                <w:bCs w:val="1"/>
                <w:color w:val="auto"/>
              </w:rPr>
              <w:t>September 27, 2025</w:t>
            </w:r>
          </w:p>
        </w:tc>
      </w:tr>
      <w:tr>
        <w:trPr>
          <w:trHeight w:val="224"/>
        </w:trPr>
        <w:tc>
          <w:tcPr>
            <w:tcW w:w="47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Environmental expense</w:t>
            </w:r>
          </w:p>
        </w:tc>
        <w:tc>
          <w:tcPr>
            <w:tcW w:w="500" w:type="dxa"/>
            <w:vAlign w:val="bottom"/>
            <w:tcBorders>
              <w:bottom w:val="single" w:sz="8" w:color="BFBFBF"/>
            </w:tcBorders>
          </w:tcPr>
          <w:p>
            <w:pPr>
              <w:jc w:val="right"/>
              <w:ind w:right="29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BFBFBF"/>
            </w:tcBorders>
          </w:tcPr>
          <w:p>
            <w:pPr>
              <w:jc w:val="right"/>
              <w:ind w:right="33"/>
              <w:spacing w:after="0"/>
              <w:rPr>
                <w:sz w:val="20"/>
                <w:szCs w:val="20"/>
                <w:color w:val="auto"/>
              </w:rPr>
            </w:pPr>
            <w:r>
              <w:rPr>
                <w:rFonts w:ascii="Arial" w:cs="Arial" w:eastAsia="Arial" w:hAnsi="Arial"/>
                <w:sz w:val="18"/>
                <w:szCs w:val="18"/>
                <w:color w:val="auto"/>
              </w:rPr>
              <w:t>16</w:t>
            </w:r>
          </w:p>
        </w:tc>
        <w:tc>
          <w:tcPr>
            <w:tcW w:w="980" w:type="dxa"/>
            <w:vAlign w:val="bottom"/>
            <w:tcBorders>
              <w:bottom w:val="single" w:sz="8" w:color="BFBFBF"/>
            </w:tcBorders>
          </w:tcPr>
          <w:p>
            <w:pPr>
              <w:jc w:val="right"/>
              <w:ind w:right="71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BFBFBF"/>
            </w:tcBorders>
          </w:tcPr>
          <w:p>
            <w:pPr>
              <w:spacing w:after="0"/>
              <w:rPr>
                <w:sz w:val="19"/>
                <w:szCs w:val="19"/>
                <w:color w:val="auto"/>
              </w:rPr>
            </w:pPr>
          </w:p>
        </w:tc>
        <w:tc>
          <w:tcPr>
            <w:tcW w:w="520" w:type="dxa"/>
            <w:vAlign w:val="bottom"/>
            <w:tcBorders>
              <w:bottom w:val="single" w:sz="8" w:color="BFBFBF"/>
            </w:tcBorders>
          </w:tcPr>
          <w:p>
            <w:pPr>
              <w:jc w:val="right"/>
              <w:ind w:right="31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BFBFBF"/>
            </w:tcBorders>
          </w:tcPr>
          <w:p>
            <w:pPr>
              <w:jc w:val="right"/>
              <w:ind w:right="33"/>
              <w:spacing w:after="0"/>
              <w:rPr>
                <w:sz w:val="20"/>
                <w:szCs w:val="20"/>
                <w:color w:val="auto"/>
              </w:rPr>
            </w:pPr>
            <w:r>
              <w:rPr>
                <w:rFonts w:ascii="Arial" w:cs="Arial" w:eastAsia="Arial" w:hAnsi="Arial"/>
                <w:sz w:val="18"/>
                <w:szCs w:val="18"/>
                <w:color w:val="auto"/>
              </w:rPr>
              <w:t>53</w:t>
            </w:r>
          </w:p>
        </w:tc>
        <w:tc>
          <w:tcPr>
            <w:tcW w:w="960" w:type="dxa"/>
            <w:vAlign w:val="bottom"/>
            <w:tcBorders>
              <w:bottom w:val="single" w:sz="8" w:color="BFBFBF"/>
            </w:tcBorders>
          </w:tcPr>
          <w:p>
            <w:pPr>
              <w:jc w:val="right"/>
              <w:ind w:right="69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324</w:t>
            </w:r>
          </w:p>
        </w:tc>
      </w:tr>
      <w:tr>
        <w:trPr>
          <w:trHeight w:val="223"/>
        </w:trPr>
        <w:tc>
          <w:tcPr>
            <w:tcW w:w="470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(1)</w:t>
            </w:r>
          </w:p>
        </w:tc>
        <w:tc>
          <w:tcPr>
            <w:tcW w:w="50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jc w:val="right"/>
              <w:ind w:right="33"/>
              <w:spacing w:after="0"/>
              <w:rPr>
                <w:sz w:val="20"/>
                <w:szCs w:val="20"/>
                <w:color w:val="auto"/>
              </w:rPr>
            </w:pPr>
            <w:r>
              <w:rPr>
                <w:rFonts w:ascii="Arial" w:cs="Arial" w:eastAsia="Arial" w:hAnsi="Arial"/>
                <w:sz w:val="18"/>
                <w:szCs w:val="18"/>
                <w:color w:val="auto"/>
              </w:rPr>
              <w:t>18</w:t>
            </w:r>
          </w:p>
        </w:tc>
        <w:tc>
          <w:tcPr>
            <w:tcW w:w="980" w:type="dxa"/>
            <w:vAlign w:val="bottom"/>
            <w:tcBorders>
              <w:bottom w:val="single" w:sz="8" w:color="BFBFBF"/>
            </w:tcBorders>
          </w:tcPr>
          <w:p>
            <w:pPr>
              <w:spacing w:after="0"/>
              <w:rPr>
                <w:sz w:val="19"/>
                <w:szCs w:val="19"/>
                <w:color w:val="auto"/>
              </w:rPr>
            </w:pPr>
          </w:p>
        </w:tc>
        <w:tc>
          <w:tcPr>
            <w:tcW w:w="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BFBFBF"/>
            </w:tcBorders>
          </w:tcPr>
          <w:p>
            <w:pPr>
              <w:spacing w:after="0"/>
              <w:rPr>
                <w:sz w:val="19"/>
                <w:szCs w:val="19"/>
                <w:color w:val="auto"/>
              </w:rPr>
            </w:pPr>
          </w:p>
        </w:tc>
        <w:tc>
          <w:tcPr>
            <w:tcW w:w="520" w:type="dxa"/>
            <w:vAlign w:val="bottom"/>
            <w:tcBorders>
              <w:bottom w:val="single" w:sz="8" w:color="BFBFBF"/>
            </w:tcBorders>
          </w:tcPr>
          <w:p>
            <w:pPr>
              <w:spacing w:after="0"/>
              <w:rPr>
                <w:sz w:val="19"/>
                <w:szCs w:val="19"/>
                <w:color w:val="auto"/>
              </w:rPr>
            </w:pPr>
          </w:p>
        </w:tc>
        <w:tc>
          <w:tcPr>
            <w:tcW w:w="1080" w:type="dxa"/>
            <w:vAlign w:val="bottom"/>
            <w:tcBorders>
              <w:bottom w:val="single" w:sz="8" w:color="BFBFBF"/>
            </w:tcBorders>
          </w:tcPr>
          <w:p>
            <w:pPr>
              <w:jc w:val="right"/>
              <w:ind w:right="33"/>
              <w:spacing w:after="0"/>
              <w:rPr>
                <w:sz w:val="20"/>
                <w:szCs w:val="20"/>
                <w:color w:val="auto"/>
              </w:rPr>
            </w:pPr>
            <w:r>
              <w:rPr>
                <w:rFonts w:ascii="Arial" w:cs="Arial" w:eastAsia="Arial" w:hAnsi="Arial"/>
                <w:sz w:val="18"/>
                <w:szCs w:val="18"/>
                <w:color w:val="auto"/>
              </w:rPr>
              <w:t>127</w:t>
            </w:r>
          </w:p>
        </w:tc>
        <w:tc>
          <w:tcPr>
            <w:tcW w:w="960" w:type="dxa"/>
            <w:vAlign w:val="bottom"/>
            <w:tcBorders>
              <w:bottom w:val="single" w:sz="8" w:color="BFBFBF"/>
            </w:tcBorders>
          </w:tcPr>
          <w:p>
            <w:pPr>
              <w:spacing w:after="0"/>
              <w:rPr>
                <w:sz w:val="19"/>
                <w:szCs w:val="19"/>
                <w:color w:val="auto"/>
              </w:rPr>
            </w:pPr>
          </w:p>
        </w:tc>
        <w:tc>
          <w:tcPr>
            <w:tcW w:w="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47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Pension (income) expense</w:t>
            </w:r>
          </w:p>
        </w:tc>
        <w:tc>
          <w:tcPr>
            <w:tcW w:w="50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(81)</w:t>
            </w:r>
          </w:p>
        </w:tc>
        <w:tc>
          <w:tcPr>
            <w:tcW w:w="980" w:type="dxa"/>
            <w:vAlign w:val="bottom"/>
            <w:tcBorders>
              <w:bottom w:val="single" w:sz="8" w:color="BFBFBF"/>
            </w:tcBorders>
          </w:tcPr>
          <w:p>
            <w:pPr>
              <w:spacing w:after="0"/>
              <w:rPr>
                <w:sz w:val="19"/>
                <w:szCs w:val="19"/>
                <w:color w:val="auto"/>
              </w:rPr>
            </w:pPr>
          </w:p>
        </w:tc>
        <w:tc>
          <w:tcPr>
            <w:tcW w:w="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BFBFBF"/>
            </w:tcBorders>
          </w:tcPr>
          <w:p>
            <w:pPr>
              <w:spacing w:after="0"/>
              <w:rPr>
                <w:sz w:val="19"/>
                <w:szCs w:val="19"/>
                <w:color w:val="auto"/>
              </w:rPr>
            </w:pPr>
          </w:p>
        </w:tc>
        <w:tc>
          <w:tcPr>
            <w:tcW w:w="520" w:type="dxa"/>
            <w:vAlign w:val="bottom"/>
            <w:tcBorders>
              <w:bottom w:val="single" w:sz="8" w:color="BFBFBF"/>
            </w:tcBorders>
          </w:tcPr>
          <w:p>
            <w:pPr>
              <w:spacing w:after="0"/>
              <w:rPr>
                <w:sz w:val="19"/>
                <w:szCs w:val="19"/>
                <w:color w:val="auto"/>
              </w:rPr>
            </w:pPr>
          </w:p>
        </w:tc>
        <w:tc>
          <w:tcPr>
            <w:tcW w:w="10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(81)</w:t>
            </w:r>
          </w:p>
        </w:tc>
        <w:tc>
          <w:tcPr>
            <w:tcW w:w="960" w:type="dxa"/>
            <w:vAlign w:val="bottom"/>
            <w:tcBorders>
              <w:bottom w:val="single" w:sz="8" w:color="BFBFBF"/>
            </w:tcBorders>
          </w:tcPr>
          <w:p>
            <w:pPr>
              <w:spacing w:after="0"/>
              <w:rPr>
                <w:sz w:val="19"/>
                <w:szCs w:val="19"/>
                <w:color w:val="auto"/>
              </w:rPr>
            </w:pPr>
          </w:p>
        </w:tc>
        <w:tc>
          <w:tcPr>
            <w:tcW w:w="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7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Equity income of affiliated companies</w:t>
            </w:r>
          </w:p>
        </w:tc>
        <w:tc>
          <w:tcPr>
            <w:tcW w:w="50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w:t>
            </w:r>
          </w:p>
        </w:tc>
        <w:tc>
          <w:tcPr>
            <w:tcW w:w="980" w:type="dxa"/>
            <w:vAlign w:val="bottom"/>
            <w:tcBorders>
              <w:bottom w:val="single" w:sz="8" w:color="BFBFBF"/>
            </w:tcBorders>
          </w:tcPr>
          <w:p>
            <w:pPr>
              <w:spacing w:after="0"/>
              <w:rPr>
                <w:sz w:val="19"/>
                <w:szCs w:val="19"/>
                <w:color w:val="auto"/>
              </w:rPr>
            </w:pPr>
          </w:p>
        </w:tc>
        <w:tc>
          <w:tcPr>
            <w:tcW w:w="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BFBFBF"/>
            </w:tcBorders>
          </w:tcPr>
          <w:p>
            <w:pPr>
              <w:spacing w:after="0"/>
              <w:rPr>
                <w:sz w:val="19"/>
                <w:szCs w:val="19"/>
                <w:color w:val="auto"/>
              </w:rPr>
            </w:pPr>
          </w:p>
        </w:tc>
        <w:tc>
          <w:tcPr>
            <w:tcW w:w="520" w:type="dxa"/>
            <w:vAlign w:val="bottom"/>
            <w:tcBorders>
              <w:bottom w:val="single" w:sz="8" w:color="BFBFBF"/>
            </w:tcBorders>
          </w:tcPr>
          <w:p>
            <w:pPr>
              <w:spacing w:after="0"/>
              <w:rPr>
                <w:sz w:val="19"/>
                <w:szCs w:val="19"/>
                <w:color w:val="auto"/>
              </w:rPr>
            </w:pPr>
          </w:p>
        </w:tc>
        <w:tc>
          <w:tcPr>
            <w:tcW w:w="10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w:t>
            </w:r>
          </w:p>
        </w:tc>
        <w:tc>
          <w:tcPr>
            <w:tcW w:w="960" w:type="dxa"/>
            <w:vAlign w:val="bottom"/>
            <w:tcBorders>
              <w:bottom w:val="single" w:sz="8" w:color="BFBFBF"/>
            </w:tcBorders>
          </w:tcPr>
          <w:p>
            <w:pPr>
              <w:spacing w:after="0"/>
              <w:rPr>
                <w:sz w:val="19"/>
                <w:szCs w:val="19"/>
                <w:color w:val="auto"/>
              </w:rPr>
            </w:pPr>
          </w:p>
        </w:tc>
        <w:tc>
          <w:tcPr>
            <w:tcW w:w="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470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(7)</w:t>
            </w:r>
          </w:p>
        </w:tc>
        <w:tc>
          <w:tcPr>
            <w:tcW w:w="980" w:type="dxa"/>
            <w:vAlign w:val="bottom"/>
            <w:tcBorders>
              <w:bottom w:val="single" w:sz="8" w:color="384348"/>
            </w:tcBorders>
          </w:tcPr>
          <w:p>
            <w:pPr>
              <w:spacing w:after="0"/>
              <w:rPr>
                <w:sz w:val="19"/>
                <w:szCs w:val="19"/>
                <w:color w:val="auto"/>
              </w:rPr>
            </w:pPr>
          </w:p>
        </w:tc>
        <w:tc>
          <w:tcPr>
            <w:tcW w:w="6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spacing w:after="0"/>
              <w:rPr>
                <w:sz w:val="19"/>
                <w:szCs w:val="19"/>
                <w:color w:val="auto"/>
              </w:rPr>
            </w:pPr>
          </w:p>
        </w:tc>
        <w:tc>
          <w:tcPr>
            <w:tcW w:w="1080" w:type="dxa"/>
            <w:vAlign w:val="bottom"/>
            <w:tcBorders>
              <w:bottom w:val="single" w:sz="8" w:color="384348"/>
            </w:tcBorders>
          </w:tcPr>
          <w:p>
            <w:pPr>
              <w:jc w:val="right"/>
              <w:ind w:right="33"/>
              <w:spacing w:after="0"/>
              <w:rPr>
                <w:sz w:val="20"/>
                <w:szCs w:val="20"/>
                <w:color w:val="auto"/>
              </w:rPr>
            </w:pPr>
            <w:r>
              <w:rPr>
                <w:rFonts w:ascii="Arial" w:cs="Arial" w:eastAsia="Arial" w:hAnsi="Arial"/>
                <w:sz w:val="18"/>
                <w:szCs w:val="18"/>
                <w:color w:val="auto"/>
              </w:rPr>
              <w:t>19</w:t>
            </w:r>
          </w:p>
        </w:tc>
        <w:tc>
          <w:tcPr>
            <w:tcW w:w="960" w:type="dxa"/>
            <w:vAlign w:val="bottom"/>
            <w:tcBorders>
              <w:bottom w:val="single" w:sz="8" w:color="384348"/>
            </w:tcBorders>
          </w:tcPr>
          <w:p>
            <w:pPr>
              <w:spacing w:after="0"/>
              <w:rPr>
                <w:sz w:val="19"/>
                <w:szCs w:val="19"/>
                <w:color w:val="auto"/>
              </w:rPr>
            </w:pP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470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Total Other (income) expense, net</w:t>
            </w:r>
          </w:p>
        </w:tc>
        <w:tc>
          <w:tcPr>
            <w:tcW w:w="500" w:type="dxa"/>
            <w:vAlign w:val="bottom"/>
            <w:tcBorders>
              <w:bottom w:val="single" w:sz="8" w:color="384348"/>
            </w:tcBorders>
          </w:tcPr>
          <w:p>
            <w:pPr>
              <w:jc w:val="right"/>
              <w:ind w:right="296"/>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(60)</w:t>
            </w:r>
          </w:p>
        </w:tc>
        <w:tc>
          <w:tcPr>
            <w:tcW w:w="980" w:type="dxa"/>
            <w:vAlign w:val="bottom"/>
            <w:tcBorders>
              <w:bottom w:val="single" w:sz="8" w:color="384348"/>
            </w:tcBorders>
          </w:tcPr>
          <w:p>
            <w:pPr>
              <w:jc w:val="right"/>
              <w:ind w:right="716"/>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294</w:t>
            </w:r>
          </w:p>
        </w:tc>
        <w:tc>
          <w:tcPr>
            <w:tcW w:w="100" w:type="dxa"/>
            <w:vAlign w:val="bottom"/>
            <w:tcBorders>
              <w:bottom w:val="single" w:sz="8" w:color="384348"/>
            </w:tcBorders>
          </w:tcPr>
          <w:p>
            <w:pPr>
              <w:spacing w:after="0"/>
              <w:rPr>
                <w:sz w:val="19"/>
                <w:szCs w:val="19"/>
                <w:color w:val="auto"/>
              </w:rPr>
            </w:pPr>
          </w:p>
        </w:tc>
        <w:tc>
          <w:tcPr>
            <w:tcW w:w="520" w:type="dxa"/>
            <w:vAlign w:val="bottom"/>
            <w:tcBorders>
              <w:bottom w:val="single" w:sz="8" w:color="384348"/>
            </w:tcBorders>
          </w:tcPr>
          <w:p>
            <w:pPr>
              <w:jc w:val="right"/>
              <w:ind w:right="316"/>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384348"/>
            </w:tcBorders>
          </w:tcPr>
          <w:p>
            <w:pPr>
              <w:jc w:val="right"/>
              <w:ind w:right="33"/>
              <w:spacing w:after="0"/>
              <w:rPr>
                <w:sz w:val="20"/>
                <w:szCs w:val="20"/>
                <w:color w:val="auto"/>
              </w:rPr>
            </w:pPr>
            <w:r>
              <w:rPr>
                <w:rFonts w:ascii="Arial" w:cs="Arial" w:eastAsia="Arial" w:hAnsi="Arial"/>
                <w:sz w:val="18"/>
                <w:szCs w:val="18"/>
                <w:b w:val="1"/>
                <w:bCs w:val="1"/>
                <w:color w:val="auto"/>
              </w:rPr>
              <w:t>100</w:t>
            </w:r>
          </w:p>
        </w:tc>
        <w:tc>
          <w:tcPr>
            <w:tcW w:w="960" w:type="dxa"/>
            <w:vAlign w:val="bottom"/>
            <w:tcBorders>
              <w:bottom w:val="single" w:sz="8" w:color="384348"/>
            </w:tcBorders>
          </w:tcPr>
          <w:p>
            <w:pPr>
              <w:jc w:val="right"/>
              <w:ind w:right="696"/>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375</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5" w:lineRule="exact"/>
        <w:rPr>
          <w:sz w:val="20"/>
          <w:szCs w:val="20"/>
          <w:color w:val="auto"/>
        </w:rPr>
      </w:pPr>
    </w:p>
    <w:p>
      <w:pPr>
        <w:jc w:val="both"/>
        <w:ind w:left="340" w:hanging="332"/>
        <w:spacing w:after="0" w:line="269" w:lineRule="auto"/>
        <w:tabs>
          <w:tab w:leader="none" w:pos="338" w:val="left"/>
        </w:tabs>
        <w:numPr>
          <w:ilvl w:val="0"/>
          <w:numId w:val="6"/>
        </w:numPr>
        <w:rPr>
          <w:rFonts w:ascii="Arial" w:cs="Arial" w:eastAsia="Arial" w:hAnsi="Arial"/>
          <w:sz w:val="14"/>
          <w:szCs w:val="14"/>
          <w:color w:val="auto"/>
        </w:rPr>
      </w:pPr>
      <w:r>
        <w:rPr>
          <w:rFonts w:ascii="Arial" w:cs="Arial" w:eastAsia="Arial" w:hAnsi="Arial"/>
          <w:sz w:val="14"/>
          <w:szCs w:val="14"/>
          <w:color w:val="auto"/>
        </w:rPr>
        <w:t>Transaction costs consist of professional advisory services fees related to the Spin-off. For the nine months ended September 26, 2026, the Company recognized $540 million of transaction costs, of which, $413 million is recognized within Selling, general and administrative expenses. For the three months ended September 26, 2026, there were no transaction costs recognized in Selling, general and administrative expenses. For the three and nine months ended September 27, 2025, the Company recognized $143 million and $160 million of transaction costs, of which, $69 million and $71 million is recognized within Selling, general and administrative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was 18.2% and 21.4% for the three and nine months ended September 26, 2026, respectively, compared to 11.7% and 14.3% for the three and nine months ended September 27, 2025, respectively. The effective tax rate for the three months ended September 26, 2026 increased as compared to 2025 primarily due to $ 44 million of tax benefits recorded in 2025 related to changes in estimate on prior tax positions. The effective tax rate for the nine months ended September 26, 2026 increased as compared to 2025 primarily due to incremental $70 million of nondeductible transaction costs and frictional tax costs incurred in advance of the Spin-off.</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FF4400"/>
            </w:tcBorders>
          </w:tcPr>
          <w:p>
            <w:pPr>
              <w:spacing w:after="0"/>
              <w:rPr>
                <w:sz w:val="17"/>
                <w:szCs w:val="17"/>
                <w:color w:val="auto"/>
              </w:rPr>
            </w:pPr>
          </w:p>
        </w:tc>
        <w:tc>
          <w:tcPr>
            <w:tcW w:w="2280" w:type="dxa"/>
            <w:vAlign w:val="bottom"/>
            <w:tcBorders>
              <w:bottom w:val="single" w:sz="8" w:color="FF4400"/>
            </w:tcBorders>
          </w:tcPr>
          <w:p>
            <w:pPr>
              <w:spacing w:after="0"/>
              <w:rPr>
                <w:sz w:val="17"/>
                <w:szCs w:val="17"/>
                <w:color w:val="auto"/>
              </w:rPr>
            </w:pPr>
          </w:p>
        </w:tc>
        <w:tc>
          <w:tcPr>
            <w:tcW w:w="1760" w:type="dxa"/>
            <w:vAlign w:val="bottom"/>
            <w:tcBorders>
              <w:bottom w:val="single" w:sz="8" w:color="FF4400"/>
            </w:tcBorders>
          </w:tcPr>
          <w:p>
            <w:pPr>
              <w:jc w:val="right"/>
              <w:ind w:right="235"/>
              <w:spacing w:after="0"/>
              <w:rPr>
                <w:sz w:val="20"/>
                <w:szCs w:val="20"/>
                <w:color w:val="auto"/>
              </w:rPr>
            </w:pPr>
            <w:r>
              <w:rPr>
                <w:rFonts w:ascii="Arial" w:cs="Arial" w:eastAsia="Arial" w:hAnsi="Arial"/>
                <w:sz w:val="14"/>
                <w:szCs w:val="14"/>
                <w:b w:val="1"/>
                <w:bCs w:val="1"/>
                <w:color w:val="auto"/>
              </w:rPr>
              <w:t>September 26, 2026</w:t>
            </w:r>
          </w:p>
        </w:tc>
        <w:tc>
          <w:tcPr>
            <w:tcW w:w="300" w:type="dxa"/>
            <w:vAlign w:val="bottom"/>
            <w:tcBorders>
              <w:bottom w:val="single" w:sz="8" w:color="FF4400"/>
            </w:tcBorders>
          </w:tcPr>
          <w:p>
            <w:pPr>
              <w:spacing w:after="0"/>
              <w:rPr>
                <w:sz w:val="17"/>
                <w:szCs w:val="17"/>
                <w:color w:val="auto"/>
              </w:rPr>
            </w:pPr>
          </w:p>
        </w:tc>
        <w:tc>
          <w:tcPr>
            <w:tcW w:w="1720" w:type="dxa"/>
            <w:vAlign w:val="bottom"/>
            <w:tcBorders>
              <w:bottom w:val="single" w:sz="8" w:color="FF4400"/>
            </w:tcBorders>
          </w:tcPr>
          <w:p>
            <w:pPr>
              <w:jc w:val="right"/>
              <w:ind w:right="235"/>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51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Raw materials</w:t>
            </w:r>
          </w:p>
        </w:tc>
        <w:tc>
          <w:tcPr>
            <w:tcW w:w="22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BFBFBF"/>
            </w:tcBorders>
          </w:tcPr>
          <w:p>
            <w:pPr>
              <w:jc w:val="right"/>
              <w:ind w:right="15"/>
              <w:spacing w:after="0"/>
              <w:rPr>
                <w:sz w:val="20"/>
                <w:szCs w:val="20"/>
                <w:color w:val="auto"/>
              </w:rPr>
            </w:pPr>
            <w:r>
              <w:rPr>
                <w:rFonts w:ascii="Arial" w:cs="Arial" w:eastAsia="Arial" w:hAnsi="Arial"/>
                <w:sz w:val="18"/>
                <w:szCs w:val="18"/>
                <w:color w:val="auto"/>
              </w:rPr>
              <w:t>1,283</w:t>
            </w:r>
          </w:p>
        </w:tc>
        <w:tc>
          <w:tcPr>
            <w:tcW w:w="30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1,092</w:t>
            </w:r>
          </w:p>
        </w:tc>
      </w:tr>
      <w:tr>
        <w:trPr>
          <w:trHeight w:val="223"/>
        </w:trPr>
        <w:tc>
          <w:tcPr>
            <w:tcW w:w="518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Finished products and work in process</w:t>
            </w:r>
          </w:p>
        </w:tc>
        <w:tc>
          <w:tcPr>
            <w:tcW w:w="2280" w:type="dxa"/>
            <w:vAlign w:val="bottom"/>
            <w:tcBorders>
              <w:bottom w:val="single" w:sz="8" w:color="384348"/>
            </w:tcBorders>
          </w:tcPr>
          <w:p>
            <w:pPr>
              <w:spacing w:after="0"/>
              <w:rPr>
                <w:sz w:val="19"/>
                <w:szCs w:val="19"/>
                <w:color w:val="auto"/>
              </w:rPr>
            </w:pPr>
          </w:p>
        </w:tc>
        <w:tc>
          <w:tcPr>
            <w:tcW w:w="1760" w:type="dxa"/>
            <w:vAlign w:val="bottom"/>
            <w:tcBorders>
              <w:bottom w:val="single" w:sz="8" w:color="384348"/>
            </w:tcBorders>
          </w:tcPr>
          <w:p>
            <w:pPr>
              <w:jc w:val="right"/>
              <w:ind w:right="15"/>
              <w:spacing w:after="0"/>
              <w:rPr>
                <w:sz w:val="20"/>
                <w:szCs w:val="20"/>
                <w:color w:val="auto"/>
              </w:rPr>
            </w:pPr>
            <w:r>
              <w:rPr>
                <w:rFonts w:ascii="Arial" w:cs="Arial" w:eastAsia="Arial" w:hAnsi="Arial"/>
                <w:sz w:val="18"/>
                <w:szCs w:val="18"/>
                <w:color w:val="auto"/>
              </w:rPr>
              <w:t>3,341</w:t>
            </w:r>
          </w:p>
        </w:tc>
        <w:tc>
          <w:tcPr>
            <w:tcW w:w="300" w:type="dxa"/>
            <w:vAlign w:val="bottom"/>
            <w:tcBorders>
              <w:bottom w:val="single" w:sz="8" w:color="384348"/>
            </w:tcBorders>
          </w:tcPr>
          <w:p>
            <w:pPr>
              <w:spacing w:after="0"/>
              <w:rPr>
                <w:sz w:val="19"/>
                <w:szCs w:val="19"/>
                <w:color w:val="auto"/>
              </w:rPr>
            </w:pPr>
          </w:p>
        </w:tc>
        <w:tc>
          <w:tcPr>
            <w:tcW w:w="1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3,219</w:t>
            </w:r>
          </w:p>
        </w:tc>
      </w:tr>
      <w:tr>
        <w:trPr>
          <w:trHeight w:val="223"/>
        </w:trPr>
        <w:tc>
          <w:tcPr>
            <w:tcW w:w="518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Total Inventories</w:t>
            </w:r>
          </w:p>
        </w:tc>
        <w:tc>
          <w:tcPr>
            <w:tcW w:w="22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tcBorders>
              <w:bottom w:val="single" w:sz="8" w:color="384348"/>
            </w:tcBorders>
          </w:tcPr>
          <w:p>
            <w:pPr>
              <w:jc w:val="right"/>
              <w:ind w:right="15"/>
              <w:spacing w:after="0"/>
              <w:rPr>
                <w:sz w:val="20"/>
                <w:szCs w:val="20"/>
                <w:color w:val="auto"/>
              </w:rPr>
            </w:pPr>
            <w:r>
              <w:rPr>
                <w:rFonts w:ascii="Arial" w:cs="Arial" w:eastAsia="Arial" w:hAnsi="Arial"/>
                <w:sz w:val="18"/>
                <w:szCs w:val="18"/>
                <w:b w:val="1"/>
                <w:bCs w:val="1"/>
                <w:color w:val="auto"/>
              </w:rPr>
              <w:t>4,624</w:t>
            </w:r>
          </w:p>
        </w:tc>
        <w:tc>
          <w:tcPr>
            <w:tcW w:w="30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4,311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 is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940" w:type="dxa"/>
            <w:vAlign w:val="bottom"/>
            <w:tcBorders>
              <w:bottom w:val="single" w:sz="8" w:color="FF4400"/>
            </w:tcBorders>
          </w:tcPr>
          <w:p>
            <w:pPr>
              <w:spacing w:after="0"/>
              <w:rPr>
                <w:sz w:val="17"/>
                <w:szCs w:val="17"/>
                <w:color w:val="auto"/>
              </w:rPr>
            </w:pPr>
          </w:p>
        </w:tc>
        <w:tc>
          <w:tcPr>
            <w:tcW w:w="1460" w:type="dxa"/>
            <w:vAlign w:val="bottom"/>
            <w:tcBorders>
              <w:bottom w:val="single" w:sz="8" w:color="FF4400"/>
            </w:tcBorders>
            <w:gridSpan w:val="2"/>
          </w:tcPr>
          <w:p>
            <w:pPr>
              <w:jc w:val="center"/>
              <w:spacing w:after="0"/>
              <w:rPr>
                <w:sz w:val="20"/>
                <w:szCs w:val="20"/>
                <w:color w:val="auto"/>
              </w:rPr>
            </w:pPr>
            <w:r>
              <w:rPr>
                <w:rFonts w:ascii="Arial" w:cs="Arial" w:eastAsia="Arial" w:hAnsi="Arial"/>
                <w:sz w:val="14"/>
                <w:szCs w:val="14"/>
                <w:b w:val="1"/>
                <w:bCs w:val="1"/>
                <w:color w:val="auto"/>
              </w:rPr>
              <w:t>September 26, 2026</w:t>
            </w:r>
          </w:p>
        </w:tc>
        <w:tc>
          <w:tcPr>
            <w:tcW w:w="180" w:type="dxa"/>
            <w:vAlign w:val="bottom"/>
            <w:tcBorders>
              <w:bottom w:val="single" w:sz="8" w:color="FF4400"/>
            </w:tcBorders>
          </w:tcPr>
          <w:p>
            <w:pPr>
              <w:spacing w:after="0"/>
              <w:rPr>
                <w:sz w:val="17"/>
                <w:szCs w:val="17"/>
                <w:color w:val="auto"/>
              </w:rPr>
            </w:pPr>
          </w:p>
        </w:tc>
        <w:tc>
          <w:tcPr>
            <w:tcW w:w="1000" w:type="dxa"/>
            <w:vAlign w:val="bottom"/>
            <w:tcBorders>
              <w:bottom w:val="single" w:sz="8" w:color="FF4400"/>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FF4400"/>
            </w:tcBorders>
          </w:tcPr>
          <w:p>
            <w:pPr>
              <w:spacing w:after="0"/>
              <w:rPr>
                <w:sz w:val="17"/>
                <w:szCs w:val="17"/>
                <w:color w:val="auto"/>
              </w:rPr>
            </w:pPr>
          </w:p>
        </w:tc>
        <w:tc>
          <w:tcPr>
            <w:tcW w:w="960" w:type="dxa"/>
            <w:vAlign w:val="bottom"/>
            <w:tcBorders>
              <w:bottom w:val="single" w:sz="8" w:color="FF4400"/>
            </w:tcBorders>
          </w:tcPr>
          <w:p>
            <w:pPr>
              <w:spacing w:after="0"/>
              <w:rPr>
                <w:sz w:val="17"/>
                <w:szCs w:val="17"/>
                <w:color w:val="auto"/>
              </w:rPr>
            </w:pPr>
          </w:p>
        </w:tc>
        <w:tc>
          <w:tcPr>
            <w:tcW w:w="1440" w:type="dxa"/>
            <w:vAlign w:val="bottom"/>
            <w:tcBorders>
              <w:bottom w:val="single" w:sz="8" w:color="FF4400"/>
            </w:tcBorders>
            <w:gridSpan w:val="2"/>
          </w:tcPr>
          <w:p>
            <w:pPr>
              <w:ind w:left="80"/>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Borders>
              <w:bottom w:val="single" w:sz="8" w:color="FF4400"/>
            </w:tcBorders>
          </w:tcPr>
          <w:p>
            <w:pPr>
              <w:spacing w:after="0"/>
              <w:rPr>
                <w:sz w:val="17"/>
                <w:szCs w:val="17"/>
                <w:color w:val="auto"/>
              </w:rPr>
            </w:pPr>
          </w:p>
        </w:tc>
        <w:tc>
          <w:tcPr>
            <w:tcW w:w="1020" w:type="dxa"/>
            <w:vAlign w:val="bottom"/>
            <w:tcBorders>
              <w:bottom w:val="single" w:sz="8" w:color="FF4400"/>
            </w:tcBorders>
          </w:tcPr>
          <w:p>
            <w:pPr>
              <w:spacing w:after="0"/>
              <w:rPr>
                <w:sz w:val="17"/>
                <w:szCs w:val="17"/>
                <w:color w:val="auto"/>
              </w:rPr>
            </w:pPr>
          </w:p>
        </w:tc>
      </w:tr>
      <w:tr>
        <w:trPr>
          <w:trHeight w:val="147"/>
        </w:trPr>
        <w:tc>
          <w:tcPr>
            <w:tcW w:w="3540" w:type="dxa"/>
            <w:vAlign w:val="bottom"/>
          </w:tcPr>
          <w:p>
            <w:pPr>
              <w:spacing w:after="0"/>
              <w:rPr>
                <w:sz w:val="12"/>
                <w:szCs w:val="12"/>
                <w:color w:val="auto"/>
              </w:rPr>
            </w:pPr>
          </w:p>
        </w:tc>
        <w:tc>
          <w:tcPr>
            <w:tcW w:w="11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Gross Carrying</w:t>
            </w:r>
          </w:p>
        </w:tc>
        <w:tc>
          <w:tcPr>
            <w:tcW w:w="260" w:type="dxa"/>
            <w:vAlign w:val="bottom"/>
          </w:tcPr>
          <w:p>
            <w:pPr>
              <w:spacing w:after="0"/>
              <w:rPr>
                <w:sz w:val="12"/>
                <w:szCs w:val="12"/>
                <w:color w:val="auto"/>
              </w:rPr>
            </w:pPr>
          </w:p>
        </w:tc>
        <w:tc>
          <w:tcPr>
            <w:tcW w:w="1200" w:type="dxa"/>
            <w:vAlign w:val="bottom"/>
          </w:tcPr>
          <w:p>
            <w:pPr>
              <w:jc w:val="center"/>
              <w:ind w:right="134"/>
              <w:spacing w:after="0" w:line="147"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1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Net Carrying</w:t>
            </w:r>
          </w:p>
        </w:tc>
        <w:tc>
          <w:tcPr>
            <w:tcW w:w="11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220" w:type="dxa"/>
            <w:vAlign w:val="bottom"/>
          </w:tcPr>
          <w:p>
            <w:pPr>
              <w:jc w:val="right"/>
              <w:ind w:right="174"/>
              <w:spacing w:after="0" w:line="147"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020" w:type="dxa"/>
            <w:vAlign w:val="bottom"/>
          </w:tcPr>
          <w:p>
            <w:pPr>
              <w:jc w:val="right"/>
              <w:ind w:right="54"/>
              <w:spacing w:after="0" w:line="147" w:lineRule="exact"/>
              <w:rPr>
                <w:sz w:val="20"/>
                <w:szCs w:val="20"/>
                <w:color w:val="auto"/>
              </w:rPr>
            </w:pPr>
            <w:r>
              <w:rPr>
                <w:rFonts w:ascii="Arial" w:cs="Arial" w:eastAsia="Arial" w:hAnsi="Arial"/>
                <w:sz w:val="14"/>
                <w:szCs w:val="14"/>
                <w:b w:val="1"/>
                <w:bCs w:val="1"/>
                <w:color w:val="auto"/>
              </w:rPr>
              <w:t>Net Carrying</w:t>
            </w:r>
          </w:p>
        </w:tc>
      </w:tr>
      <w:tr>
        <w:trPr>
          <w:trHeight w:val="185"/>
        </w:trPr>
        <w:tc>
          <w:tcPr>
            <w:tcW w:w="3540" w:type="dxa"/>
            <w:vAlign w:val="bottom"/>
            <w:tcBorders>
              <w:bottom w:val="single" w:sz="8" w:color="FF4400"/>
            </w:tcBorders>
          </w:tcPr>
          <w:p>
            <w:pPr>
              <w:spacing w:after="0"/>
              <w:rPr>
                <w:sz w:val="16"/>
                <w:szCs w:val="16"/>
                <w:color w:val="auto"/>
              </w:rPr>
            </w:pPr>
          </w:p>
        </w:tc>
        <w:tc>
          <w:tcPr>
            <w:tcW w:w="220" w:type="dxa"/>
            <w:vAlign w:val="bottom"/>
            <w:tcBorders>
              <w:bottom w:val="single" w:sz="8" w:color="FF4400"/>
            </w:tcBorders>
          </w:tcPr>
          <w:p>
            <w:pPr>
              <w:spacing w:after="0"/>
              <w:rPr>
                <w:sz w:val="16"/>
                <w:szCs w:val="16"/>
                <w:color w:val="auto"/>
              </w:rPr>
            </w:pPr>
          </w:p>
        </w:tc>
        <w:tc>
          <w:tcPr>
            <w:tcW w:w="940" w:type="dxa"/>
            <w:vAlign w:val="bottom"/>
            <w:tcBorders>
              <w:bottom w:val="single" w:sz="8" w:color="FF4400"/>
            </w:tcBorders>
          </w:tcPr>
          <w:p>
            <w:pPr>
              <w:jc w:val="right"/>
              <w:ind w:right="212"/>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FF4400"/>
            </w:tcBorders>
          </w:tcPr>
          <w:p>
            <w:pPr>
              <w:spacing w:after="0"/>
              <w:rPr>
                <w:sz w:val="16"/>
                <w:szCs w:val="16"/>
                <w:color w:val="auto"/>
              </w:rPr>
            </w:pPr>
          </w:p>
        </w:tc>
        <w:tc>
          <w:tcPr>
            <w:tcW w:w="1200" w:type="dxa"/>
            <w:vAlign w:val="bottom"/>
            <w:tcBorders>
              <w:bottom w:val="single" w:sz="8" w:color="FF4400"/>
            </w:tcBorders>
          </w:tcPr>
          <w:p>
            <w:pPr>
              <w:jc w:val="center"/>
              <w:ind w:right="154"/>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FF4400"/>
            </w:tcBorders>
          </w:tcPr>
          <w:p>
            <w:pPr>
              <w:spacing w:after="0"/>
              <w:rPr>
                <w:sz w:val="16"/>
                <w:szCs w:val="16"/>
                <w:color w:val="auto"/>
              </w:rPr>
            </w:pPr>
          </w:p>
        </w:tc>
        <w:tc>
          <w:tcPr>
            <w:tcW w:w="1100" w:type="dxa"/>
            <w:vAlign w:val="bottom"/>
            <w:tcBorders>
              <w:bottom w:val="single" w:sz="8" w:color="FF4400"/>
            </w:tcBorders>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FF4400"/>
            </w:tcBorders>
          </w:tcPr>
          <w:p>
            <w:pPr>
              <w:spacing w:after="0"/>
              <w:rPr>
                <w:sz w:val="16"/>
                <w:szCs w:val="16"/>
                <w:color w:val="auto"/>
              </w:rPr>
            </w:pPr>
          </w:p>
        </w:tc>
        <w:tc>
          <w:tcPr>
            <w:tcW w:w="960" w:type="dxa"/>
            <w:vAlign w:val="bottom"/>
            <w:tcBorders>
              <w:bottom w:val="single" w:sz="8" w:color="FF4400"/>
            </w:tcBorders>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FF4400"/>
            </w:tcBorders>
          </w:tcPr>
          <w:p>
            <w:pPr>
              <w:spacing w:after="0"/>
              <w:rPr>
                <w:sz w:val="16"/>
                <w:szCs w:val="16"/>
                <w:color w:val="auto"/>
              </w:rPr>
            </w:pPr>
          </w:p>
        </w:tc>
        <w:tc>
          <w:tcPr>
            <w:tcW w:w="1220" w:type="dxa"/>
            <w:vAlign w:val="bottom"/>
            <w:tcBorders>
              <w:bottom w:val="single" w:sz="8" w:color="FF4400"/>
            </w:tcBorders>
          </w:tcPr>
          <w:p>
            <w:pPr>
              <w:jc w:val="right"/>
              <w:ind w:right="194"/>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FF4400"/>
            </w:tcBorders>
          </w:tcPr>
          <w:p>
            <w:pPr>
              <w:spacing w:after="0"/>
              <w:rPr>
                <w:sz w:val="16"/>
                <w:szCs w:val="16"/>
                <w:color w:val="auto"/>
              </w:rPr>
            </w:pPr>
          </w:p>
        </w:tc>
        <w:tc>
          <w:tcPr>
            <w:tcW w:w="1020" w:type="dxa"/>
            <w:vAlign w:val="bottom"/>
            <w:tcBorders>
              <w:bottom w:val="single" w:sz="8" w:color="FF4400"/>
            </w:tcBorders>
          </w:tcPr>
          <w:p>
            <w:pPr>
              <w:jc w:val="right"/>
              <w:ind w:right="214"/>
              <w:spacing w:after="0"/>
              <w:rPr>
                <w:sz w:val="20"/>
                <w:szCs w:val="20"/>
                <w:color w:val="auto"/>
              </w:rPr>
            </w:pPr>
            <w:r>
              <w:rPr>
                <w:rFonts w:ascii="Arial" w:cs="Arial" w:eastAsia="Arial" w:hAnsi="Arial"/>
                <w:sz w:val="14"/>
                <w:szCs w:val="14"/>
                <w:b w:val="1"/>
                <w:bCs w:val="1"/>
                <w:color w:val="auto"/>
              </w:rPr>
              <w:t>Amount</w:t>
            </w:r>
          </w:p>
        </w:tc>
      </w:tr>
      <w:tr>
        <w:trPr>
          <w:trHeight w:val="223"/>
        </w:trPr>
        <w:tc>
          <w:tcPr>
            <w:tcW w:w="354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Other intangible assets, net</w:t>
            </w:r>
          </w:p>
        </w:tc>
        <w:tc>
          <w:tcPr>
            <w:tcW w:w="220" w:type="dxa"/>
            <w:vAlign w:val="bottom"/>
            <w:tcBorders>
              <w:bottom w:val="single" w:sz="8" w:color="BFBFBF"/>
            </w:tcBorders>
          </w:tcPr>
          <w:p>
            <w:pPr>
              <w:spacing w:after="0"/>
              <w:rPr>
                <w:sz w:val="19"/>
                <w:szCs w:val="19"/>
                <w:color w:val="auto"/>
              </w:rPr>
            </w:pPr>
          </w:p>
        </w:tc>
        <w:tc>
          <w:tcPr>
            <w:tcW w:w="940" w:type="dxa"/>
            <w:vAlign w:val="bottom"/>
            <w:tcBorders>
              <w:bottom w:val="single" w:sz="8" w:color="BFBFBF"/>
            </w:tcBorders>
          </w:tcPr>
          <w:p>
            <w:pPr>
              <w:spacing w:after="0"/>
              <w:rPr>
                <w:sz w:val="19"/>
                <w:szCs w:val="19"/>
                <w:color w:val="auto"/>
              </w:rPr>
            </w:pPr>
          </w:p>
        </w:tc>
        <w:tc>
          <w:tcPr>
            <w:tcW w:w="26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spacing w:after="0"/>
              <w:rPr>
                <w:sz w:val="19"/>
                <w:szCs w:val="19"/>
                <w:color w:val="auto"/>
              </w:rPr>
            </w:pPr>
          </w:p>
        </w:tc>
        <w:tc>
          <w:tcPr>
            <w:tcW w:w="180" w:type="dxa"/>
            <w:vAlign w:val="bottom"/>
            <w:tcBorders>
              <w:bottom w:val="single" w:sz="8" w:color="BFBFBF"/>
            </w:tcBorders>
          </w:tcPr>
          <w:p>
            <w:pPr>
              <w:spacing w:after="0"/>
              <w:rPr>
                <w:sz w:val="19"/>
                <w:szCs w:val="19"/>
                <w:color w:val="auto"/>
              </w:rPr>
            </w:pPr>
          </w:p>
        </w:tc>
        <w:tc>
          <w:tcPr>
            <w:tcW w:w="1000" w:type="dxa"/>
            <w:vAlign w:val="bottom"/>
            <w:tcBorders>
              <w:bottom w:val="single" w:sz="8" w:color="BFBFBF"/>
            </w:tcBorders>
          </w:tcPr>
          <w:p>
            <w:pPr>
              <w:spacing w:after="0"/>
              <w:rPr>
                <w:sz w:val="19"/>
                <w:szCs w:val="19"/>
                <w:color w:val="auto"/>
              </w:rPr>
            </w:pPr>
          </w:p>
        </w:tc>
        <w:tc>
          <w:tcPr>
            <w:tcW w:w="10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960" w:type="dxa"/>
            <w:vAlign w:val="bottom"/>
            <w:tcBorders>
              <w:bottom w:val="single" w:sz="8" w:color="BFBFBF"/>
            </w:tcBorders>
          </w:tcPr>
          <w:p>
            <w:pPr>
              <w:spacing w:after="0"/>
              <w:rPr>
                <w:sz w:val="19"/>
                <w:szCs w:val="19"/>
                <w:color w:val="auto"/>
              </w:rPr>
            </w:pPr>
          </w:p>
        </w:tc>
        <w:tc>
          <w:tcPr>
            <w:tcW w:w="22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spacing w:after="0"/>
              <w:rPr>
                <w:sz w:val="19"/>
                <w:szCs w:val="19"/>
                <w:color w:val="auto"/>
              </w:rPr>
            </w:pPr>
          </w:p>
        </w:tc>
        <w:tc>
          <w:tcPr>
            <w:tcW w:w="180" w:type="dxa"/>
            <w:vAlign w:val="bottom"/>
            <w:tcBorders>
              <w:bottom w:val="single" w:sz="8" w:color="BFBFBF"/>
            </w:tcBorders>
          </w:tcPr>
          <w:p>
            <w:pPr>
              <w:spacing w:after="0"/>
              <w:rPr>
                <w:sz w:val="19"/>
                <w:szCs w:val="19"/>
                <w:color w:val="auto"/>
              </w:rPr>
            </w:pPr>
          </w:p>
        </w:tc>
        <w:tc>
          <w:tcPr>
            <w:tcW w:w="1020" w:type="dxa"/>
            <w:vAlign w:val="bottom"/>
            <w:tcBorders>
              <w:bottom w:val="single" w:sz="8" w:color="BFBFBF"/>
            </w:tcBorders>
          </w:tcPr>
          <w:p>
            <w:pPr>
              <w:spacing w:after="0"/>
              <w:rPr>
                <w:sz w:val="19"/>
                <w:szCs w:val="19"/>
                <w:color w:val="auto"/>
              </w:rPr>
            </w:pPr>
          </w:p>
        </w:tc>
      </w:tr>
      <w:tr>
        <w:trPr>
          <w:trHeight w:val="223"/>
        </w:trPr>
        <w:tc>
          <w:tcPr>
            <w:tcW w:w="354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BFBFBF"/>
            </w:tcBorders>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1,283</w:t>
            </w:r>
          </w:p>
        </w:tc>
        <w:tc>
          <w:tcPr>
            <w:tcW w:w="2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1,285</w:t>
            </w:r>
          </w:p>
        </w:tc>
        <w:tc>
          <w:tcPr>
            <w:tcW w:w="22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1,156</w:t>
            </w:r>
          </w:p>
        </w:tc>
      </w:tr>
      <w:tr>
        <w:trPr>
          <w:trHeight w:val="223"/>
        </w:trPr>
        <w:tc>
          <w:tcPr>
            <w:tcW w:w="354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Capitalized software</w:t>
            </w:r>
          </w:p>
        </w:tc>
        <w:tc>
          <w:tcPr>
            <w:tcW w:w="220" w:type="dxa"/>
            <w:vAlign w:val="bottom"/>
            <w:tcBorders>
              <w:bottom w:val="single" w:sz="8" w:color="BFBFBF"/>
            </w:tcBorders>
          </w:tcPr>
          <w:p>
            <w:pPr>
              <w:spacing w:after="0"/>
              <w:rPr>
                <w:sz w:val="19"/>
                <w:szCs w:val="19"/>
                <w:color w:val="auto"/>
              </w:rPr>
            </w:pPr>
          </w:p>
        </w:tc>
        <w:tc>
          <w:tcPr>
            <w:tcW w:w="9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1,466</w:t>
            </w:r>
          </w:p>
        </w:tc>
        <w:tc>
          <w:tcPr>
            <w:tcW w:w="26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(742)</w:t>
            </w:r>
          </w:p>
        </w:tc>
        <w:tc>
          <w:tcPr>
            <w:tcW w:w="180" w:type="dxa"/>
            <w:vAlign w:val="bottom"/>
            <w:tcBorders>
              <w:bottom w:val="single" w:sz="8" w:color="BFBFBF"/>
            </w:tcBorders>
          </w:tcPr>
          <w:p>
            <w:pPr>
              <w:spacing w:after="0"/>
              <w:rPr>
                <w:sz w:val="19"/>
                <w:szCs w:val="19"/>
                <w:color w:val="auto"/>
              </w:rPr>
            </w:pPr>
          </w:p>
        </w:tc>
        <w:tc>
          <w:tcPr>
            <w:tcW w:w="10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96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1,324</w:t>
            </w:r>
          </w:p>
        </w:tc>
        <w:tc>
          <w:tcPr>
            <w:tcW w:w="22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(734)</w:t>
            </w:r>
          </w:p>
        </w:tc>
        <w:tc>
          <w:tcPr>
            <w:tcW w:w="180" w:type="dxa"/>
            <w:vAlign w:val="bottom"/>
            <w:tcBorders>
              <w:bottom w:val="single" w:sz="8" w:color="BFBFBF"/>
            </w:tcBorders>
          </w:tcPr>
          <w:p>
            <w:pPr>
              <w:spacing w:after="0"/>
              <w:rPr>
                <w:sz w:val="19"/>
                <w:szCs w:val="19"/>
                <w:color w:val="auto"/>
              </w:rPr>
            </w:pPr>
          </w:p>
        </w:tc>
        <w:tc>
          <w:tcPr>
            <w:tcW w:w="10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590</w:t>
            </w:r>
          </w:p>
        </w:tc>
      </w:tr>
      <w:tr>
        <w:trPr>
          <w:trHeight w:val="223"/>
        </w:trPr>
        <w:tc>
          <w:tcPr>
            <w:tcW w:w="354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Customer-related intangible assets</w:t>
            </w:r>
          </w:p>
        </w:tc>
        <w:tc>
          <w:tcPr>
            <w:tcW w:w="220" w:type="dxa"/>
            <w:vAlign w:val="bottom"/>
            <w:tcBorders>
              <w:bottom w:val="single" w:sz="8" w:color="BFBFBF"/>
            </w:tcBorders>
          </w:tcPr>
          <w:p>
            <w:pPr>
              <w:spacing w:after="0"/>
              <w:rPr>
                <w:sz w:val="19"/>
                <w:szCs w:val="19"/>
                <w:color w:val="auto"/>
              </w:rPr>
            </w:pPr>
          </w:p>
        </w:tc>
        <w:tc>
          <w:tcPr>
            <w:tcW w:w="9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344</w:t>
            </w:r>
          </w:p>
        </w:tc>
        <w:tc>
          <w:tcPr>
            <w:tcW w:w="26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BFBFBF"/>
            </w:tcBorders>
          </w:tcPr>
          <w:p>
            <w:pPr>
              <w:spacing w:after="0"/>
              <w:rPr>
                <w:sz w:val="19"/>
                <w:szCs w:val="19"/>
                <w:color w:val="auto"/>
              </w:rPr>
            </w:pPr>
          </w:p>
        </w:tc>
        <w:tc>
          <w:tcPr>
            <w:tcW w:w="10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96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342</w:t>
            </w:r>
          </w:p>
        </w:tc>
        <w:tc>
          <w:tcPr>
            <w:tcW w:w="22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BFBFBF"/>
            </w:tcBorders>
          </w:tcPr>
          <w:p>
            <w:pPr>
              <w:spacing w:after="0"/>
              <w:rPr>
                <w:sz w:val="19"/>
                <w:szCs w:val="19"/>
                <w:color w:val="auto"/>
              </w:rPr>
            </w:pPr>
          </w:p>
        </w:tc>
        <w:tc>
          <w:tcPr>
            <w:tcW w:w="10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276</w:t>
            </w:r>
          </w:p>
        </w:tc>
      </w:tr>
      <w:tr>
        <w:trPr>
          <w:trHeight w:val="223"/>
        </w:trPr>
        <w:tc>
          <w:tcPr>
            <w:tcW w:w="354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Patents and technology</w:t>
            </w:r>
          </w:p>
        </w:tc>
        <w:tc>
          <w:tcPr>
            <w:tcW w:w="220" w:type="dxa"/>
            <w:vAlign w:val="bottom"/>
            <w:tcBorders>
              <w:bottom w:val="single" w:sz="8" w:color="BFBFBF"/>
            </w:tcBorders>
          </w:tcPr>
          <w:p>
            <w:pPr>
              <w:spacing w:after="0"/>
              <w:rPr>
                <w:sz w:val="19"/>
                <w:szCs w:val="19"/>
                <w:color w:val="auto"/>
              </w:rPr>
            </w:pPr>
          </w:p>
        </w:tc>
        <w:tc>
          <w:tcPr>
            <w:tcW w:w="9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Borders>
              <w:bottom w:val="single" w:sz="8" w:color="BFBFBF"/>
            </w:tcBorders>
          </w:tcPr>
          <w:p>
            <w:pPr>
              <w:spacing w:after="0"/>
              <w:rPr>
                <w:sz w:val="19"/>
                <w:szCs w:val="19"/>
                <w:color w:val="auto"/>
              </w:rPr>
            </w:pPr>
          </w:p>
        </w:tc>
        <w:tc>
          <w:tcPr>
            <w:tcW w:w="10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96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344</w:t>
            </w:r>
          </w:p>
        </w:tc>
        <w:tc>
          <w:tcPr>
            <w:tcW w:w="22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Borders>
              <w:bottom w:val="single" w:sz="8" w:color="BFBFBF"/>
            </w:tcBorders>
          </w:tcPr>
          <w:p>
            <w:pPr>
              <w:spacing w:after="0"/>
              <w:rPr>
                <w:sz w:val="19"/>
                <w:szCs w:val="19"/>
                <w:color w:val="auto"/>
              </w:rPr>
            </w:pPr>
          </w:p>
        </w:tc>
        <w:tc>
          <w:tcPr>
            <w:tcW w:w="10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354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Trademarks</w:t>
            </w:r>
          </w:p>
        </w:tc>
        <w:tc>
          <w:tcPr>
            <w:tcW w:w="220" w:type="dxa"/>
            <w:vAlign w:val="bottom"/>
            <w:tcBorders>
              <w:bottom w:val="single" w:sz="8" w:color="BFBFBF"/>
            </w:tcBorders>
          </w:tcPr>
          <w:p>
            <w:pPr>
              <w:spacing w:after="0"/>
              <w:rPr>
                <w:sz w:val="19"/>
                <w:szCs w:val="19"/>
                <w:color w:val="auto"/>
              </w:rPr>
            </w:pPr>
          </w:p>
        </w:tc>
        <w:tc>
          <w:tcPr>
            <w:tcW w:w="9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BFBFBF"/>
            </w:tcBorders>
          </w:tcPr>
          <w:p>
            <w:pPr>
              <w:spacing w:after="0"/>
              <w:rPr>
                <w:sz w:val="19"/>
                <w:szCs w:val="19"/>
                <w:color w:val="auto"/>
              </w:rPr>
            </w:pPr>
          </w:p>
        </w:tc>
        <w:tc>
          <w:tcPr>
            <w:tcW w:w="10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96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BFBFBF"/>
            </w:tcBorders>
          </w:tcPr>
          <w:p>
            <w:pPr>
              <w:spacing w:after="0"/>
              <w:rPr>
                <w:sz w:val="19"/>
                <w:szCs w:val="19"/>
                <w:color w:val="auto"/>
              </w:rPr>
            </w:pPr>
          </w:p>
        </w:tc>
        <w:tc>
          <w:tcPr>
            <w:tcW w:w="10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3540" w:type="dxa"/>
            <w:vAlign w:val="bottom"/>
            <w:tcBorders>
              <w:bottom w:val="single" w:sz="8" w:color="384348"/>
            </w:tcBorders>
          </w:tcPr>
          <w:p>
            <w:pPr>
              <w:ind w:left="14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384348"/>
            </w:tcBorders>
          </w:tcPr>
          <w:p>
            <w:pPr>
              <w:spacing w:after="0"/>
              <w:rPr>
                <w:sz w:val="19"/>
                <w:szCs w:val="19"/>
                <w:color w:val="auto"/>
              </w:rPr>
            </w:pPr>
          </w:p>
        </w:tc>
        <w:tc>
          <w:tcPr>
            <w:tcW w:w="9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384348"/>
            </w:tcBorders>
          </w:tcPr>
          <w:p>
            <w:pPr>
              <w:spacing w:after="0"/>
              <w:rPr>
                <w:sz w:val="19"/>
                <w:szCs w:val="19"/>
                <w:color w:val="auto"/>
              </w:rPr>
            </w:pP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384348"/>
            </w:tcBorders>
          </w:tcPr>
          <w:p>
            <w:pPr>
              <w:spacing w:after="0"/>
              <w:rPr>
                <w:sz w:val="19"/>
                <w:szCs w:val="19"/>
                <w:color w:val="auto"/>
              </w:rPr>
            </w:pPr>
          </w:p>
        </w:tc>
        <w:tc>
          <w:tcPr>
            <w:tcW w:w="10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384348"/>
            </w:tcBorders>
          </w:tcPr>
          <w:p>
            <w:pPr>
              <w:spacing w:after="0"/>
              <w:rPr>
                <w:sz w:val="19"/>
                <w:szCs w:val="19"/>
                <w:color w:val="auto"/>
              </w:rPr>
            </w:pPr>
          </w:p>
        </w:tc>
        <w:tc>
          <w:tcPr>
            <w:tcW w:w="200" w:type="dxa"/>
            <w:vAlign w:val="bottom"/>
            <w:tcBorders>
              <w:bottom w:val="single" w:sz="8" w:color="384348"/>
            </w:tcBorders>
          </w:tcPr>
          <w:p>
            <w:pPr>
              <w:spacing w:after="0"/>
              <w:rPr>
                <w:sz w:val="19"/>
                <w:szCs w:val="19"/>
                <w:color w:val="auto"/>
              </w:rPr>
            </w:pPr>
          </w:p>
        </w:tc>
        <w:tc>
          <w:tcPr>
            <w:tcW w:w="960" w:type="dxa"/>
            <w:vAlign w:val="bottom"/>
            <w:tcBorders>
              <w:bottom w:val="single" w:sz="8" w:color="384348"/>
            </w:tcBorders>
          </w:tcPr>
          <w:p>
            <w:pPr>
              <w:jc w:val="right"/>
              <w:ind w:right="12"/>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384348"/>
            </w:tcBorders>
          </w:tcPr>
          <w:p>
            <w:pPr>
              <w:spacing w:after="0"/>
              <w:rPr>
                <w:sz w:val="19"/>
                <w:szCs w:val="19"/>
                <w:color w:val="auto"/>
              </w:rPr>
            </w:pPr>
          </w:p>
        </w:tc>
        <w:tc>
          <w:tcPr>
            <w:tcW w:w="10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354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Total Other intangible assets, net</w:t>
            </w:r>
          </w:p>
        </w:tc>
        <w:tc>
          <w:tcPr>
            <w:tcW w:w="220" w:type="dxa"/>
            <w:vAlign w:val="bottom"/>
            <w:tcBorders>
              <w:bottom w:val="single" w:sz="8" w:color="384348"/>
            </w:tcBorders>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3,545</w:t>
            </w:r>
          </w:p>
        </w:tc>
        <w:tc>
          <w:tcPr>
            <w:tcW w:w="2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(1,306)</w:t>
            </w:r>
          </w:p>
        </w:tc>
        <w:tc>
          <w:tcPr>
            <w:tcW w:w="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2,239</w:t>
            </w:r>
          </w:p>
        </w:tc>
        <w:tc>
          <w:tcPr>
            <w:tcW w:w="100" w:type="dxa"/>
            <w:vAlign w:val="bottom"/>
            <w:tcBorders>
              <w:bottom w:val="single" w:sz="8" w:color="384348"/>
            </w:tcBorders>
          </w:tcPr>
          <w:p>
            <w:pPr>
              <w:spacing w:after="0"/>
              <w:rPr>
                <w:sz w:val="19"/>
                <w:szCs w:val="19"/>
                <w:color w:val="auto"/>
              </w:rPr>
            </w:pP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384348"/>
            </w:tcBorders>
          </w:tcPr>
          <w:p>
            <w:pPr>
              <w:jc w:val="right"/>
              <w:ind w:right="12"/>
              <w:spacing w:after="0"/>
              <w:rPr>
                <w:sz w:val="20"/>
                <w:szCs w:val="20"/>
                <w:color w:val="auto"/>
              </w:rPr>
            </w:pPr>
            <w:r>
              <w:rPr>
                <w:rFonts w:ascii="Arial" w:cs="Arial" w:eastAsia="Arial" w:hAnsi="Arial"/>
                <w:sz w:val="18"/>
                <w:szCs w:val="18"/>
                <w:b w:val="1"/>
                <w:bCs w:val="1"/>
                <w:color w:val="auto"/>
              </w:rPr>
              <w:t>3,399</w:t>
            </w:r>
          </w:p>
        </w:tc>
        <w:tc>
          <w:tcPr>
            <w:tcW w:w="220" w:type="dxa"/>
            <w:vAlign w:val="bottom"/>
            <w:tcBorders>
              <w:bottom w:val="single" w:sz="8" w:color="384348"/>
            </w:tcBorders>
          </w:tcPr>
          <w:p>
            <w:pPr>
              <w:ind w:left="8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(1,222)</w:t>
            </w:r>
          </w:p>
        </w:tc>
        <w:tc>
          <w:tcPr>
            <w:tcW w:w="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2,177</w:t>
            </w: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related to intangible assets was $ 53 million and $141 million for the three and nine months ended September 26, 2026, respectively, and $21 million and $99 million for the three and nine months ended September 27, 2025,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 and Credit Agreements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Borders>
              <w:bottom w:val="single" w:sz="8" w:color="FF4400"/>
            </w:tcBorders>
          </w:tcPr>
          <w:p>
            <w:pPr>
              <w:spacing w:after="0"/>
              <w:rPr>
                <w:sz w:val="17"/>
                <w:szCs w:val="17"/>
                <w:color w:val="auto"/>
              </w:rPr>
            </w:pPr>
          </w:p>
        </w:tc>
        <w:tc>
          <w:tcPr>
            <w:tcW w:w="1660" w:type="dxa"/>
            <w:vAlign w:val="bottom"/>
            <w:tcBorders>
              <w:bottom w:val="single" w:sz="8" w:color="FF4400"/>
            </w:tcBorders>
          </w:tcPr>
          <w:p>
            <w:pPr>
              <w:spacing w:after="0"/>
              <w:rPr>
                <w:sz w:val="17"/>
                <w:szCs w:val="17"/>
                <w:color w:val="auto"/>
              </w:rPr>
            </w:pPr>
          </w:p>
        </w:tc>
        <w:tc>
          <w:tcPr>
            <w:tcW w:w="1640" w:type="dxa"/>
            <w:vAlign w:val="bottom"/>
            <w:tcBorders>
              <w:bottom w:val="single" w:sz="8" w:color="FF4400"/>
            </w:tcBorders>
          </w:tcPr>
          <w:p>
            <w:pPr>
              <w:jc w:val="right"/>
              <w:ind w:right="171"/>
              <w:spacing w:after="0"/>
              <w:rPr>
                <w:sz w:val="20"/>
                <w:szCs w:val="20"/>
                <w:color w:val="auto"/>
              </w:rPr>
            </w:pPr>
            <w:r>
              <w:rPr>
                <w:rFonts w:ascii="Arial" w:cs="Arial" w:eastAsia="Arial" w:hAnsi="Arial"/>
                <w:sz w:val="14"/>
                <w:szCs w:val="14"/>
                <w:b w:val="1"/>
                <w:bCs w:val="1"/>
                <w:color w:val="auto"/>
              </w:rPr>
              <w:t>September 26, 2026</w:t>
            </w:r>
          </w:p>
        </w:tc>
        <w:tc>
          <w:tcPr>
            <w:tcW w:w="220" w:type="dxa"/>
            <w:vAlign w:val="bottom"/>
            <w:tcBorders>
              <w:bottom w:val="single" w:sz="8" w:color="FF4400"/>
            </w:tcBorders>
          </w:tcPr>
          <w:p>
            <w:pPr>
              <w:spacing w:after="0"/>
              <w:rPr>
                <w:sz w:val="17"/>
                <w:szCs w:val="17"/>
                <w:color w:val="auto"/>
              </w:rPr>
            </w:pPr>
          </w:p>
        </w:tc>
        <w:tc>
          <w:tcPr>
            <w:tcW w:w="1600" w:type="dxa"/>
            <w:vAlign w:val="bottom"/>
            <w:tcBorders>
              <w:bottom w:val="single" w:sz="8" w:color="FF4400"/>
            </w:tcBorders>
          </w:tcPr>
          <w:p>
            <w:pPr>
              <w:jc w:val="right"/>
              <w:ind w:right="151"/>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61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3.90% Senior Notes due 2028</w:t>
            </w:r>
          </w:p>
        </w:tc>
        <w:tc>
          <w:tcPr>
            <w:tcW w:w="1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1,250</w:t>
            </w:r>
          </w:p>
        </w:tc>
        <w:tc>
          <w:tcPr>
            <w:tcW w:w="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4.00% Senior Notes due 2029</w:t>
            </w:r>
          </w:p>
        </w:tc>
        <w:tc>
          <w:tcPr>
            <w:tcW w:w="1660" w:type="dxa"/>
            <w:vAlign w:val="bottom"/>
            <w:tcBorders>
              <w:bottom w:val="single" w:sz="8" w:color="BFBFBF"/>
            </w:tcBorders>
          </w:tcPr>
          <w:p>
            <w:pPr>
              <w:spacing w:after="0"/>
              <w:rPr>
                <w:sz w:val="19"/>
                <w:szCs w:val="19"/>
                <w:color w:val="auto"/>
              </w:rPr>
            </w:pPr>
          </w:p>
        </w:tc>
        <w:tc>
          <w:tcPr>
            <w:tcW w:w="164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1,250</w:t>
            </w:r>
          </w:p>
        </w:tc>
        <w:tc>
          <w:tcPr>
            <w:tcW w:w="22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Compounded SOFR plus 0.63% Senior Notes due 2029</w:t>
            </w:r>
          </w:p>
        </w:tc>
        <w:tc>
          <w:tcPr>
            <w:tcW w:w="1660" w:type="dxa"/>
            <w:vAlign w:val="bottom"/>
            <w:tcBorders>
              <w:bottom w:val="single" w:sz="8" w:color="BFBFBF"/>
            </w:tcBorders>
          </w:tcPr>
          <w:p>
            <w:pPr>
              <w:spacing w:after="0"/>
              <w:rPr>
                <w:sz w:val="19"/>
                <w:szCs w:val="19"/>
                <w:color w:val="auto"/>
              </w:rPr>
            </w:pPr>
          </w:p>
        </w:tc>
        <w:tc>
          <w:tcPr>
            <w:tcW w:w="164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500</w:t>
            </w:r>
          </w:p>
        </w:tc>
        <w:tc>
          <w:tcPr>
            <w:tcW w:w="22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4.30% Senior Notes due 2031</w:t>
            </w:r>
          </w:p>
        </w:tc>
        <w:tc>
          <w:tcPr>
            <w:tcW w:w="1660" w:type="dxa"/>
            <w:vAlign w:val="bottom"/>
            <w:tcBorders>
              <w:bottom w:val="single" w:sz="8" w:color="BFBFBF"/>
            </w:tcBorders>
          </w:tcPr>
          <w:p>
            <w:pPr>
              <w:spacing w:after="0"/>
              <w:rPr>
                <w:sz w:val="19"/>
                <w:szCs w:val="19"/>
                <w:color w:val="auto"/>
              </w:rPr>
            </w:pPr>
          </w:p>
        </w:tc>
        <w:tc>
          <w:tcPr>
            <w:tcW w:w="164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2,000</w:t>
            </w:r>
          </w:p>
        </w:tc>
        <w:tc>
          <w:tcPr>
            <w:tcW w:w="22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4.60% Senior Notes due 2033</w:t>
            </w:r>
          </w:p>
        </w:tc>
        <w:tc>
          <w:tcPr>
            <w:tcW w:w="1660" w:type="dxa"/>
            <w:vAlign w:val="bottom"/>
            <w:tcBorders>
              <w:bottom w:val="single" w:sz="8" w:color="BFBFBF"/>
            </w:tcBorders>
          </w:tcPr>
          <w:p>
            <w:pPr>
              <w:spacing w:after="0"/>
              <w:rPr>
                <w:sz w:val="19"/>
                <w:szCs w:val="19"/>
                <w:color w:val="auto"/>
              </w:rPr>
            </w:pPr>
          </w:p>
        </w:tc>
        <w:tc>
          <w:tcPr>
            <w:tcW w:w="164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1,750</w:t>
            </w:r>
          </w:p>
        </w:tc>
        <w:tc>
          <w:tcPr>
            <w:tcW w:w="22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4.95% Senior Notes due 2036</w:t>
            </w:r>
          </w:p>
        </w:tc>
        <w:tc>
          <w:tcPr>
            <w:tcW w:w="1660" w:type="dxa"/>
            <w:vAlign w:val="bottom"/>
            <w:tcBorders>
              <w:bottom w:val="single" w:sz="8" w:color="BFBFBF"/>
            </w:tcBorders>
          </w:tcPr>
          <w:p>
            <w:pPr>
              <w:spacing w:after="0"/>
              <w:rPr>
                <w:sz w:val="19"/>
                <w:szCs w:val="19"/>
                <w:color w:val="auto"/>
              </w:rPr>
            </w:pPr>
          </w:p>
        </w:tc>
        <w:tc>
          <w:tcPr>
            <w:tcW w:w="164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3,250</w:t>
            </w:r>
          </w:p>
        </w:tc>
        <w:tc>
          <w:tcPr>
            <w:tcW w:w="22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5.622% Senior Notes due 2046</w:t>
            </w:r>
          </w:p>
        </w:tc>
        <w:tc>
          <w:tcPr>
            <w:tcW w:w="1660" w:type="dxa"/>
            <w:vAlign w:val="bottom"/>
            <w:tcBorders>
              <w:bottom w:val="single" w:sz="8" w:color="BFBFBF"/>
            </w:tcBorders>
          </w:tcPr>
          <w:p>
            <w:pPr>
              <w:spacing w:after="0"/>
              <w:rPr>
                <w:sz w:val="19"/>
                <w:szCs w:val="19"/>
                <w:color w:val="auto"/>
              </w:rPr>
            </w:pPr>
          </w:p>
        </w:tc>
        <w:tc>
          <w:tcPr>
            <w:tcW w:w="164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5.732% Senior Notes due 2056</w:t>
            </w:r>
          </w:p>
        </w:tc>
        <w:tc>
          <w:tcPr>
            <w:tcW w:w="1660" w:type="dxa"/>
            <w:vAlign w:val="bottom"/>
            <w:tcBorders>
              <w:bottom w:val="single" w:sz="8" w:color="BFBFBF"/>
            </w:tcBorders>
          </w:tcPr>
          <w:p>
            <w:pPr>
              <w:spacing w:after="0"/>
              <w:rPr>
                <w:sz w:val="19"/>
                <w:szCs w:val="19"/>
                <w:color w:val="auto"/>
              </w:rPr>
            </w:pPr>
          </w:p>
        </w:tc>
        <w:tc>
          <w:tcPr>
            <w:tcW w:w="164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3,500</w:t>
            </w:r>
          </w:p>
        </w:tc>
        <w:tc>
          <w:tcPr>
            <w:tcW w:w="22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5.852% Senior Notes due 2066</w:t>
            </w:r>
          </w:p>
        </w:tc>
        <w:tc>
          <w:tcPr>
            <w:tcW w:w="1660" w:type="dxa"/>
            <w:vAlign w:val="bottom"/>
            <w:tcBorders>
              <w:bottom w:val="single" w:sz="8" w:color="BFBFBF"/>
            </w:tcBorders>
          </w:tcPr>
          <w:p>
            <w:pPr>
              <w:spacing w:after="0"/>
              <w:rPr>
                <w:sz w:val="19"/>
                <w:szCs w:val="19"/>
                <w:color w:val="auto"/>
              </w:rPr>
            </w:pPr>
          </w:p>
        </w:tc>
        <w:tc>
          <w:tcPr>
            <w:tcW w:w="164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BFBFBF"/>
            </w:tcBorders>
          </w:tcPr>
          <w:p>
            <w:pPr>
              <w:spacing w:after="0"/>
              <w:rPr>
                <w:sz w:val="19"/>
                <w:szCs w:val="19"/>
                <w:color w:val="auto"/>
              </w:rPr>
            </w:pPr>
          </w:p>
        </w:tc>
        <w:tc>
          <w:tcPr>
            <w:tcW w:w="164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12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Debt issuance costs</w:t>
            </w:r>
          </w:p>
        </w:tc>
        <w:tc>
          <w:tcPr>
            <w:tcW w:w="1660" w:type="dxa"/>
            <w:vAlign w:val="bottom"/>
            <w:tcBorders>
              <w:bottom w:val="single" w:sz="8" w:color="384348"/>
            </w:tcBorders>
          </w:tcPr>
          <w:p>
            <w:pPr>
              <w:spacing w:after="0"/>
              <w:rPr>
                <w:sz w:val="19"/>
                <w:szCs w:val="19"/>
                <w:color w:val="auto"/>
              </w:rPr>
            </w:pPr>
          </w:p>
        </w:tc>
        <w:tc>
          <w:tcPr>
            <w:tcW w:w="16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384348"/>
            </w:tcBorders>
          </w:tcPr>
          <w:p>
            <w:pPr>
              <w:spacing w:after="0"/>
              <w:rPr>
                <w:sz w:val="19"/>
                <w:szCs w:val="19"/>
                <w:color w:val="auto"/>
              </w:rPr>
            </w:pPr>
          </w:p>
        </w:tc>
        <w:tc>
          <w:tcPr>
            <w:tcW w:w="16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Total Long-term debt and current related maturities</w:t>
            </w:r>
          </w:p>
        </w:tc>
        <w:tc>
          <w:tcPr>
            <w:tcW w:w="1660" w:type="dxa"/>
            <w:vAlign w:val="bottom"/>
            <w:tcBorders>
              <w:bottom w:val="single" w:sz="8" w:color="384348"/>
            </w:tcBorders>
          </w:tcPr>
          <w:p>
            <w:pPr>
              <w:spacing w:after="0"/>
              <w:rPr>
                <w:sz w:val="19"/>
                <w:szCs w:val="19"/>
                <w:color w:val="auto"/>
              </w:rPr>
            </w:pPr>
          </w:p>
        </w:tc>
        <w:tc>
          <w:tcPr>
            <w:tcW w:w="164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15,856</w:t>
            </w:r>
          </w:p>
        </w:tc>
        <w:tc>
          <w:tcPr>
            <w:tcW w:w="220" w:type="dxa"/>
            <w:vAlign w:val="bottom"/>
            <w:tcBorders>
              <w:bottom w:val="single" w:sz="8" w:color="384348"/>
            </w:tcBorders>
          </w:tcPr>
          <w:p>
            <w:pPr>
              <w:spacing w:after="0"/>
              <w:rPr>
                <w:sz w:val="19"/>
                <w:szCs w:val="19"/>
                <w:color w:val="auto"/>
              </w:rPr>
            </w:pPr>
          </w:p>
        </w:tc>
        <w:tc>
          <w:tcPr>
            <w:tcW w:w="16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9</w:t>
            </w:r>
          </w:p>
        </w:tc>
      </w:tr>
      <w:tr>
        <w:trPr>
          <w:trHeight w:val="223"/>
        </w:trPr>
        <w:tc>
          <w:tcPr>
            <w:tcW w:w="612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660" w:type="dxa"/>
            <w:vAlign w:val="bottom"/>
            <w:tcBorders>
              <w:bottom w:val="single" w:sz="8" w:color="384348"/>
            </w:tcBorders>
          </w:tcPr>
          <w:p>
            <w:pPr>
              <w:spacing w:after="0"/>
              <w:rPr>
                <w:sz w:val="19"/>
                <w:szCs w:val="19"/>
                <w:color w:val="auto"/>
              </w:rPr>
            </w:pPr>
          </w:p>
        </w:tc>
        <w:tc>
          <w:tcPr>
            <w:tcW w:w="164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384348"/>
            </w:tcBorders>
          </w:tcPr>
          <w:p>
            <w:pPr>
              <w:spacing w:after="0"/>
              <w:rPr>
                <w:sz w:val="19"/>
                <w:szCs w:val="19"/>
                <w:color w:val="auto"/>
              </w:rPr>
            </w:pPr>
          </w:p>
        </w:tc>
        <w:tc>
          <w:tcPr>
            <w:tcW w:w="16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12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Total Long-term debt</w:t>
            </w:r>
          </w:p>
        </w:tc>
        <w:tc>
          <w:tcPr>
            <w:tcW w:w="1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15,853</w:t>
            </w:r>
          </w:p>
        </w:tc>
        <w:tc>
          <w:tcPr>
            <w:tcW w:w="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4</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16, 2026, and in connection with the Spin-off, the Company issued an aggregate of $16.0 billion principal amount of the Initial Notes in nine series with maturity dates ranging from 2028 through 2066. Upon issuance, the Initial Notes became guaranteed on a senior unsecured basis by Honeywell. Following the completion of the Spin-off, Honeywell was automatically and unconditionally released and discharged from all obligations under these guarantees.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distributed the Initial Notes due 2046, 2056, and 2066 (with an aggregate principal amount of $6.0 billion) and $9.1 billion of cash proceeds from the remaining series of Initial Notes to Honeywell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partial consideration for the contribution of assets by Honeywell to the Company in connection with the distribution and retained the balance of the cash proceeds from the remaining Initial Notes issued.</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10, 2026, the Company completed an offer to exchange (the “Exchange Offer”) each series of the Initial Notes for registered notes of like principal (“New Notes”). The Initial Notes were originally issued on March 16, 2026, in a private offering in connection with the Spin-off. The terms of the New Notes are identical in all material respects to the terms of the Initial Notes of corresponding series, except that the New Notes are registered under the Securities Act of 1933, do not contain restrictions on transfer or provisions relating to additional interest, and do not entitle their holders to registration rights. Substantially all of the Initial Notes were tendered and exchanged for New Notes in the Exchange Offer.</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on the fixed rate notes is payable on March 16 and September 16 of each year until maturity, with the first interest payment made on September 16, 2026. Interest on the floating rate notes is payable on March 16, June 16, September 16, and December 16 of each year, with the first interest payment made on June 16,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schedule of principal payments on long-term debt, excluding debt issuance costs,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60" w:type="dxa"/>
            <w:vAlign w:val="bottom"/>
            <w:tcBorders>
              <w:bottom w:val="single" w:sz="8" w:color="FF4400"/>
            </w:tcBorders>
          </w:tcPr>
          <w:p>
            <w:pPr>
              <w:spacing w:after="0"/>
              <w:rPr>
                <w:sz w:val="17"/>
                <w:szCs w:val="17"/>
                <w:color w:val="auto"/>
              </w:rPr>
            </w:pPr>
          </w:p>
        </w:tc>
        <w:tc>
          <w:tcPr>
            <w:tcW w:w="2780" w:type="dxa"/>
            <w:vAlign w:val="bottom"/>
            <w:tcBorders>
              <w:bottom w:val="single" w:sz="8" w:color="FF4400"/>
            </w:tcBorders>
          </w:tcPr>
          <w:p>
            <w:pPr>
              <w:spacing w:after="0"/>
              <w:rPr>
                <w:sz w:val="17"/>
                <w:szCs w:val="17"/>
                <w:color w:val="auto"/>
              </w:rPr>
            </w:pPr>
          </w:p>
        </w:tc>
        <w:tc>
          <w:tcPr>
            <w:tcW w:w="1400" w:type="dxa"/>
            <w:vAlign w:val="bottom"/>
            <w:tcBorders>
              <w:bottom w:val="single" w:sz="8" w:color="FF4400"/>
            </w:tcBorders>
          </w:tcPr>
          <w:p>
            <w:pPr>
              <w:jc w:val="right"/>
              <w:ind w:right="532"/>
              <w:spacing w:after="0"/>
              <w:rPr>
                <w:sz w:val="20"/>
                <w:szCs w:val="20"/>
                <w:color w:val="auto"/>
              </w:rPr>
            </w:pPr>
            <w:r>
              <w:rPr>
                <w:rFonts w:ascii="Arial" w:cs="Arial" w:eastAsia="Arial" w:hAnsi="Arial"/>
                <w:sz w:val="14"/>
                <w:szCs w:val="14"/>
                <w:b w:val="1"/>
                <w:bCs w:val="1"/>
                <w:color w:val="auto"/>
              </w:rPr>
              <w:t>Amount</w:t>
            </w:r>
          </w:p>
        </w:tc>
      </w:tr>
      <w:tr>
        <w:trPr>
          <w:trHeight w:val="224"/>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2027</w:t>
            </w:r>
          </w:p>
        </w:tc>
        <w:tc>
          <w:tcPr>
            <w:tcW w:w="2780" w:type="dxa"/>
            <w:vAlign w:val="bottom"/>
            <w:tcBorders>
              <w:bottom w:val="single" w:sz="8" w:color="BFBFBF"/>
            </w:tcBorders>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2028</w:t>
            </w:r>
          </w:p>
        </w:tc>
        <w:tc>
          <w:tcPr>
            <w:tcW w:w="2780" w:type="dxa"/>
            <w:vAlign w:val="bottom"/>
            <w:tcBorders>
              <w:bottom w:val="single" w:sz="8" w:color="BFBFBF"/>
            </w:tcBorders>
          </w:tcPr>
          <w:p>
            <w:pPr>
              <w:spacing w:after="0"/>
              <w:rPr>
                <w:sz w:val="19"/>
                <w:szCs w:val="19"/>
                <w:color w:val="auto"/>
              </w:rPr>
            </w:pP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1,251</w:t>
            </w: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2029</w:t>
            </w:r>
          </w:p>
        </w:tc>
        <w:tc>
          <w:tcPr>
            <w:tcW w:w="2780" w:type="dxa"/>
            <w:vAlign w:val="bottom"/>
            <w:tcBorders>
              <w:bottom w:val="single" w:sz="8" w:color="BFBFBF"/>
            </w:tcBorders>
          </w:tcPr>
          <w:p>
            <w:pPr>
              <w:spacing w:after="0"/>
              <w:rPr>
                <w:sz w:val="19"/>
                <w:szCs w:val="19"/>
                <w:color w:val="auto"/>
              </w:rPr>
            </w:pP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1,751</w:t>
            </w: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2030</w:t>
            </w:r>
          </w:p>
        </w:tc>
        <w:tc>
          <w:tcPr>
            <w:tcW w:w="2780" w:type="dxa"/>
            <w:vAlign w:val="bottom"/>
            <w:tcBorders>
              <w:bottom w:val="single" w:sz="8" w:color="BFBFBF"/>
            </w:tcBorders>
          </w:tcPr>
          <w:p>
            <w:pPr>
              <w:spacing w:after="0"/>
              <w:rPr>
                <w:sz w:val="19"/>
                <w:szCs w:val="19"/>
                <w:color w:val="auto"/>
              </w:rPr>
            </w:pP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2031</w:t>
            </w:r>
          </w:p>
        </w:tc>
        <w:tc>
          <w:tcPr>
            <w:tcW w:w="2780" w:type="dxa"/>
            <w:vAlign w:val="bottom"/>
            <w:tcBorders>
              <w:bottom w:val="single" w:sz="8" w:color="BFBFBF"/>
            </w:tcBorders>
          </w:tcPr>
          <w:p>
            <w:pPr>
              <w:spacing w:after="0"/>
              <w:rPr>
                <w:sz w:val="19"/>
                <w:szCs w:val="19"/>
                <w:color w:val="auto"/>
              </w:rPr>
            </w:pP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2,000</w:t>
            </w:r>
          </w:p>
        </w:tc>
      </w:tr>
      <w:tr>
        <w:trPr>
          <w:trHeight w:val="223"/>
        </w:trPr>
        <w:tc>
          <w:tcPr>
            <w:tcW w:w="706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Thereafter</w:t>
            </w:r>
          </w:p>
        </w:tc>
        <w:tc>
          <w:tcPr>
            <w:tcW w:w="2780" w:type="dxa"/>
            <w:vAlign w:val="bottom"/>
            <w:tcBorders>
              <w:bottom w:val="single" w:sz="8" w:color="384348"/>
            </w:tcBorders>
          </w:tcPr>
          <w:p>
            <w:pPr>
              <w:spacing w:after="0"/>
              <w:rPr>
                <w:sz w:val="19"/>
                <w:szCs w:val="19"/>
                <w:color w:val="auto"/>
              </w:rPr>
            </w:pPr>
          </w:p>
        </w:tc>
        <w:tc>
          <w:tcPr>
            <w:tcW w:w="14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11,000</w:t>
            </w:r>
          </w:p>
        </w:tc>
      </w:tr>
      <w:tr>
        <w:trPr>
          <w:trHeight w:val="223"/>
        </w:trPr>
        <w:tc>
          <w:tcPr>
            <w:tcW w:w="706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Total Long-term debt and current related maturities</w:t>
            </w:r>
          </w:p>
        </w:tc>
        <w:tc>
          <w:tcPr>
            <w:tcW w:w="2780" w:type="dxa"/>
            <w:vAlign w:val="bottom"/>
            <w:tcBorders>
              <w:bottom w:val="single" w:sz="8" w:color="384348"/>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16,005</w:t>
            </w: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estimated fair value of the Company’s long-term debt, excluding debt issuance costs, was approximately $15.0 billion as of September 26, 2026, compared to a carrying value of $16.0 billion. The Company determined the fair value of the long-term debt by utilizing transactions in listed markets for identical or similar liabilities. As such, the fair value of the long-term debt is classified as Level 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6, 2026, the Company entered into a $1.0 billion 364-day credit agreement (the “364-Day Credit Agreement”). Amounts borrowed under the 364-Day Credit Agreement are due no later than March 5, 2027, unless (i) the Company elects to convert all then outstanding amounts into a term loan, upon which such amounts shall be repaid in full on March 5, 2028, or (ii) the 364-Day Credit Agreement is terminated earlier pursuant to its terms.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March 6, 2026, the Company entered into a $3.0 billion five-year credit agreement (the “Five-Year Credit Agreement”). Any amounts borrowed under the Five-Year Credit Agreement are required to be repaid no later than March 6, 2031, unless such date is extended pursuant to the terms of the Five-Year Credit Agreement.</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364-Day Credit Agreement and Five-Year Credit Agreement (together, the “Revolving Credit Facilities”) are maintained for general corporate purposes. U.S. dollar advances under the Revolving Credit Facilities bear interest at a rate of either (i) term SOFR plus an applicable margin that varies from 0.75% to 1.25% per annum based on the Company’s public debt rating for its long-term senior unsecured debt or, in the event SOFR is unavailable, (ii) a base rate, plus an applicable margin 100 basis points less than the applicable margin for term SOFR advances (but not less than zero). Advances in alternative currencies will bear interest at rates based on the applicable benchmark rate for such currency, plus the margin applicable to term SOFR advances. The Company is also required to pay a commitment fee on unused commitments at a rate per annum based on the Company’s public debt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may voluntarily prepay borrowings under the Revolving Credit Facilities without premium or penalty, subject to customary “breakage” costs. The Company may also reduce the commitments under either of the Revolving Credit Facilities, in whole or in part, in each case, subject to certain minimum amounts.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Revolving Credit Facilities do not restrict the Company’s ability to pay dividends, nor do they contain financial covenants. They also contain customary representations and warranties, affirmative and negative covenants and events of default for investment grade borrowers and financings of this type. Except for certain affirmative covenants, the affirmative and negative covenants contained in the Revolving Credit Facilities are applicable only after revolving credit commitments are available to be drawn thereunder.</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revolving credit commitments under the Revolving Credit Facilities became available upon consummation of the Spin-off, subject to certain conditions customary for facilities of this type. As of September 26, 2026, there was no outstanding balance on the Revolving Credit Facilities.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29, 2026, the Company entered into a commercial paper program to issue unsecured commercial paper notes up to $4.0 billion, with maturities up to 397 days. Commercial paper notes are sold at par less a discount representing an interest factor, or if interest bearing, at par. As of September 26, 2026, there was no outstanding balance of commercial paper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Borders>
              <w:bottom w:val="single" w:sz="8" w:color="FF4400"/>
            </w:tcBorders>
          </w:tcPr>
          <w:p>
            <w:pPr>
              <w:spacing w:after="0"/>
              <w:rPr>
                <w:sz w:val="17"/>
                <w:szCs w:val="17"/>
                <w:color w:val="auto"/>
              </w:rPr>
            </w:pPr>
          </w:p>
        </w:tc>
        <w:tc>
          <w:tcPr>
            <w:tcW w:w="3440" w:type="dxa"/>
            <w:vAlign w:val="bottom"/>
            <w:tcBorders>
              <w:bottom w:val="single" w:sz="8" w:color="FF4400"/>
            </w:tcBorders>
            <w:gridSpan w:val="3"/>
          </w:tcPr>
          <w:p>
            <w:pPr>
              <w:jc w:val="right"/>
              <w:ind w:right="105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3860" w:type="dxa"/>
            <w:vAlign w:val="bottom"/>
            <w:tcBorders>
              <w:bottom w:val="single" w:sz="8" w:color="FF4400"/>
            </w:tcBorders>
          </w:tcPr>
          <w:p>
            <w:pPr>
              <w:spacing w:after="0"/>
              <w:rPr>
                <w:sz w:val="17"/>
                <w:szCs w:val="17"/>
                <w:color w:val="auto"/>
              </w:rPr>
            </w:pPr>
          </w:p>
        </w:tc>
        <w:tc>
          <w:tcPr>
            <w:tcW w:w="3060" w:type="dxa"/>
            <w:vAlign w:val="bottom"/>
            <w:tcBorders>
              <w:bottom w:val="single" w:sz="8" w:color="FF4400"/>
            </w:tcBorders>
          </w:tcPr>
          <w:p>
            <w:pPr>
              <w:spacing w:after="0"/>
              <w:rPr>
                <w:sz w:val="17"/>
                <w:szCs w:val="17"/>
                <w:color w:val="auto"/>
              </w:rPr>
            </w:pPr>
          </w:p>
        </w:tc>
        <w:tc>
          <w:tcPr>
            <w:tcW w:w="720" w:type="dxa"/>
            <w:vAlign w:val="bottom"/>
            <w:tcBorders>
              <w:bottom w:val="single" w:sz="8" w:color="FF4400"/>
            </w:tcBorders>
          </w:tcPr>
          <w:p>
            <w:pPr>
              <w:spacing w:after="0"/>
              <w:rPr>
                <w:sz w:val="17"/>
                <w:szCs w:val="17"/>
                <w:color w:val="auto"/>
              </w:rPr>
            </w:pPr>
          </w:p>
        </w:tc>
        <w:tc>
          <w:tcPr>
            <w:tcW w:w="160" w:type="dxa"/>
            <w:vAlign w:val="bottom"/>
            <w:tcBorders>
              <w:bottom w:val="single" w:sz="8" w:color="FF4400"/>
            </w:tcBorders>
          </w:tcPr>
          <w:p>
            <w:pPr>
              <w:spacing w:after="0"/>
              <w:rPr>
                <w:sz w:val="17"/>
                <w:szCs w:val="17"/>
                <w:color w:val="auto"/>
              </w:rPr>
            </w:pPr>
          </w:p>
        </w:tc>
        <w:tc>
          <w:tcPr>
            <w:tcW w:w="1560" w:type="dxa"/>
            <w:vAlign w:val="bottom"/>
            <w:tcBorders>
              <w:bottom w:val="single" w:sz="8" w:color="FF4400"/>
            </w:tcBorders>
          </w:tcPr>
          <w:p>
            <w:pPr>
              <w:jc w:val="right"/>
              <w:ind w:right="92"/>
              <w:spacing w:after="0"/>
              <w:rPr>
                <w:sz w:val="20"/>
                <w:szCs w:val="20"/>
                <w:color w:val="auto"/>
              </w:rPr>
            </w:pPr>
            <w:r>
              <w:rPr>
                <w:rFonts w:ascii="Arial" w:cs="Arial" w:eastAsia="Arial" w:hAnsi="Arial"/>
                <w:sz w:val="14"/>
                <w:szCs w:val="14"/>
                <w:b w:val="1"/>
                <w:bCs w:val="1"/>
                <w:color w:val="auto"/>
              </w:rPr>
              <w:t>September 26, 2026</w:t>
            </w:r>
          </w:p>
        </w:tc>
        <w:tc>
          <w:tcPr>
            <w:tcW w:w="280" w:type="dxa"/>
            <w:vAlign w:val="bottom"/>
            <w:tcBorders>
              <w:bottom w:val="single" w:sz="8" w:color="FF4400"/>
            </w:tcBorders>
          </w:tcPr>
          <w:p>
            <w:pPr>
              <w:spacing w:after="0"/>
              <w:rPr>
                <w:sz w:val="17"/>
                <w:szCs w:val="17"/>
                <w:color w:val="auto"/>
              </w:rPr>
            </w:pPr>
          </w:p>
        </w:tc>
        <w:tc>
          <w:tcPr>
            <w:tcW w:w="1600" w:type="dxa"/>
            <w:vAlign w:val="bottom"/>
            <w:tcBorders>
              <w:bottom w:val="single" w:sz="8" w:color="FF4400"/>
            </w:tcBorders>
          </w:tcPr>
          <w:p>
            <w:pPr>
              <w:ind w:left="40"/>
              <w:spacing w:after="0"/>
              <w:rPr>
                <w:sz w:val="20"/>
                <w:szCs w:val="20"/>
                <w:color w:val="auto"/>
              </w:rPr>
            </w:pPr>
            <w:r>
              <w:rPr>
                <w:rFonts w:ascii="Arial" w:cs="Arial" w:eastAsia="Arial" w:hAnsi="Arial"/>
                <w:sz w:val="14"/>
                <w:szCs w:val="14"/>
                <w:b w:val="1"/>
                <w:bCs w:val="1"/>
                <w:color w:val="auto"/>
              </w:rPr>
              <w:t>September 27, 2025</w:t>
            </w:r>
          </w:p>
        </w:tc>
      </w:tr>
      <w:tr>
        <w:trPr>
          <w:trHeight w:val="224"/>
        </w:trPr>
        <w:tc>
          <w:tcPr>
            <w:tcW w:w="6920" w:type="dxa"/>
            <w:vAlign w:val="bottom"/>
            <w:tcBorders>
              <w:bottom w:val="single" w:sz="8" w:color="BFBFBF"/>
            </w:tcBorders>
            <w:gridSpan w:val="2"/>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72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560" w:type="dxa"/>
            <w:vAlign w:val="bottom"/>
            <w:tcBorders>
              <w:bottom w:val="single" w:sz="8" w:color="BFBFBF"/>
            </w:tcBorders>
          </w:tcPr>
          <w:p>
            <w:pPr>
              <w:spacing w:after="0"/>
              <w:rPr>
                <w:sz w:val="19"/>
                <w:szCs w:val="19"/>
                <w:color w:val="auto"/>
              </w:rPr>
            </w:pPr>
          </w:p>
        </w:tc>
        <w:tc>
          <w:tcPr>
            <w:tcW w:w="28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spacing w:after="0"/>
              <w:rPr>
                <w:sz w:val="19"/>
                <w:szCs w:val="19"/>
                <w:color w:val="auto"/>
              </w:rPr>
            </w:pPr>
          </w:p>
        </w:tc>
      </w:tr>
      <w:tr>
        <w:trPr>
          <w:trHeight w:val="223"/>
        </w:trPr>
        <w:tc>
          <w:tcPr>
            <w:tcW w:w="386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Operating leases</w:t>
            </w:r>
          </w:p>
        </w:tc>
        <w:tc>
          <w:tcPr>
            <w:tcW w:w="3060" w:type="dxa"/>
            <w:vAlign w:val="bottom"/>
            <w:tcBorders>
              <w:bottom w:val="single" w:sz="8" w:color="BFBFBF"/>
            </w:tcBorders>
          </w:tcPr>
          <w:p>
            <w:pPr>
              <w:spacing w:after="0"/>
              <w:rPr>
                <w:sz w:val="19"/>
                <w:szCs w:val="19"/>
                <w:color w:val="auto"/>
              </w:rPr>
            </w:pPr>
          </w:p>
        </w:tc>
        <w:tc>
          <w:tcPr>
            <w:tcW w:w="880" w:type="dxa"/>
            <w:vAlign w:val="bottom"/>
            <w:tcBorders>
              <w:bottom w:val="single" w:sz="8" w:color="BFBFBF"/>
            </w:tcBorders>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71</w:t>
            </w:r>
          </w:p>
        </w:tc>
      </w:tr>
      <w:tr>
        <w:trPr>
          <w:trHeight w:val="470"/>
        </w:trPr>
        <w:tc>
          <w:tcPr>
            <w:tcW w:w="692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87"/>
        </w:trPr>
        <w:tc>
          <w:tcPr>
            <w:tcW w:w="3860" w:type="dxa"/>
            <w:vAlign w:val="bottom"/>
            <w:tcBorders>
              <w:bottom w:val="single" w:sz="8" w:color="FF4400"/>
            </w:tcBorders>
          </w:tcPr>
          <w:p>
            <w:pPr>
              <w:spacing w:after="0"/>
              <w:rPr>
                <w:sz w:val="24"/>
                <w:szCs w:val="24"/>
                <w:color w:val="auto"/>
              </w:rPr>
            </w:pPr>
          </w:p>
        </w:tc>
        <w:tc>
          <w:tcPr>
            <w:tcW w:w="3060" w:type="dxa"/>
            <w:vAlign w:val="bottom"/>
            <w:tcBorders>
              <w:bottom w:val="single" w:sz="8" w:color="FF4400"/>
            </w:tcBorders>
          </w:tcPr>
          <w:p>
            <w:pPr>
              <w:ind w:left="1600"/>
              <w:spacing w:after="0"/>
              <w:rPr>
                <w:sz w:val="20"/>
                <w:szCs w:val="20"/>
                <w:color w:val="auto"/>
              </w:rPr>
            </w:pPr>
            <w:r>
              <w:rPr>
                <w:rFonts w:ascii="Arial" w:cs="Arial" w:eastAsia="Arial" w:hAnsi="Arial"/>
                <w:sz w:val="14"/>
                <w:szCs w:val="14"/>
                <w:b w:val="1"/>
                <w:bCs w:val="1"/>
                <w:color w:val="auto"/>
              </w:rPr>
              <w:t>Classification</w:t>
            </w:r>
          </w:p>
        </w:tc>
        <w:tc>
          <w:tcPr>
            <w:tcW w:w="720" w:type="dxa"/>
            <w:vAlign w:val="bottom"/>
            <w:tcBorders>
              <w:bottom w:val="single" w:sz="8" w:color="FF4400"/>
            </w:tcBorders>
          </w:tcPr>
          <w:p>
            <w:pPr>
              <w:spacing w:after="0"/>
              <w:rPr>
                <w:sz w:val="24"/>
                <w:szCs w:val="24"/>
                <w:color w:val="auto"/>
              </w:rPr>
            </w:pPr>
          </w:p>
        </w:tc>
        <w:tc>
          <w:tcPr>
            <w:tcW w:w="1720" w:type="dxa"/>
            <w:vAlign w:val="bottom"/>
            <w:tcBorders>
              <w:bottom w:val="single" w:sz="8" w:color="FF4400"/>
            </w:tcBorders>
            <w:gridSpan w:val="2"/>
          </w:tcPr>
          <w:p>
            <w:pPr>
              <w:jc w:val="right"/>
              <w:ind w:right="232"/>
              <w:spacing w:after="0"/>
              <w:rPr>
                <w:sz w:val="20"/>
                <w:szCs w:val="20"/>
                <w:color w:val="auto"/>
              </w:rPr>
            </w:pPr>
            <w:r>
              <w:rPr>
                <w:rFonts w:ascii="Arial" w:cs="Arial" w:eastAsia="Arial" w:hAnsi="Arial"/>
                <w:sz w:val="14"/>
                <w:szCs w:val="14"/>
                <w:b w:val="1"/>
                <w:bCs w:val="1"/>
                <w:color w:val="auto"/>
              </w:rPr>
              <w:t>September 26, 2026</w:t>
            </w:r>
          </w:p>
        </w:tc>
        <w:tc>
          <w:tcPr>
            <w:tcW w:w="280" w:type="dxa"/>
            <w:vAlign w:val="bottom"/>
            <w:tcBorders>
              <w:bottom w:val="single" w:sz="8" w:color="FF4400"/>
            </w:tcBorders>
          </w:tcPr>
          <w:p>
            <w:pPr>
              <w:spacing w:after="0"/>
              <w:rPr>
                <w:sz w:val="24"/>
                <w:szCs w:val="24"/>
                <w:color w:val="auto"/>
              </w:rPr>
            </w:pPr>
          </w:p>
        </w:tc>
        <w:tc>
          <w:tcPr>
            <w:tcW w:w="1600" w:type="dxa"/>
            <w:vAlign w:val="bottom"/>
            <w:tcBorders>
              <w:bottom w:val="single" w:sz="8" w:color="FF4400"/>
            </w:tcBorders>
          </w:tcPr>
          <w:p>
            <w:pPr>
              <w:ind w:left="40"/>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38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Operating lease right-of-use assets</w:t>
            </w:r>
          </w:p>
        </w:tc>
        <w:tc>
          <w:tcPr>
            <w:tcW w:w="3060" w:type="dxa"/>
            <w:vAlign w:val="bottom"/>
            <w:tcBorders>
              <w:bottom w:val="single" w:sz="8" w:color="BFBFBF"/>
            </w:tcBorders>
          </w:tcPr>
          <w:p>
            <w:pPr>
              <w:ind w:left="620"/>
              <w:spacing w:after="0"/>
              <w:rPr>
                <w:sz w:val="20"/>
                <w:szCs w:val="20"/>
                <w:color w:val="auto"/>
              </w:rPr>
            </w:pPr>
            <w:r>
              <w:rPr>
                <w:rFonts w:ascii="Arial" w:cs="Arial" w:eastAsia="Arial" w:hAnsi="Arial"/>
                <w:sz w:val="18"/>
                <w:szCs w:val="18"/>
                <w:color w:val="auto"/>
              </w:rPr>
              <w:t>Other assets</w:t>
            </w:r>
          </w:p>
        </w:tc>
        <w:tc>
          <w:tcPr>
            <w:tcW w:w="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BFBF"/>
            </w:tcBorders>
          </w:tcPr>
          <w:p>
            <w:pPr>
              <w:spacing w:after="0"/>
              <w:rPr>
                <w:sz w:val="19"/>
                <w:szCs w:val="19"/>
                <w:color w:val="auto"/>
              </w:rPr>
            </w:pPr>
          </w:p>
        </w:tc>
        <w:tc>
          <w:tcPr>
            <w:tcW w:w="15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301</w:t>
            </w:r>
          </w:p>
        </w:tc>
        <w:tc>
          <w:tcPr>
            <w:tcW w:w="28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38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Current operating lease liabilities</w:t>
            </w:r>
          </w:p>
        </w:tc>
        <w:tc>
          <w:tcPr>
            <w:tcW w:w="3060" w:type="dxa"/>
            <w:vAlign w:val="bottom"/>
            <w:tcBorders>
              <w:bottom w:val="single" w:sz="8" w:color="BFBFBF"/>
            </w:tcBorders>
          </w:tcPr>
          <w:p>
            <w:pPr>
              <w:ind w:left="620"/>
              <w:spacing w:after="0"/>
              <w:rPr>
                <w:sz w:val="20"/>
                <w:szCs w:val="20"/>
                <w:color w:val="auto"/>
              </w:rPr>
            </w:pPr>
            <w:r>
              <w:rPr>
                <w:rFonts w:ascii="Arial" w:cs="Arial" w:eastAsia="Arial" w:hAnsi="Arial"/>
                <w:sz w:val="18"/>
                <w:szCs w:val="18"/>
                <w:color w:val="auto"/>
              </w:rPr>
              <w:t>Accrued liabilities</w:t>
            </w:r>
          </w:p>
        </w:tc>
        <w:tc>
          <w:tcPr>
            <w:tcW w:w="72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5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38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060" w:type="dxa"/>
            <w:vAlign w:val="bottom"/>
            <w:tcBorders>
              <w:bottom w:val="single" w:sz="8" w:color="BFBFBF"/>
            </w:tcBorders>
          </w:tcPr>
          <w:p>
            <w:pPr>
              <w:ind w:left="620"/>
              <w:spacing w:after="0"/>
              <w:rPr>
                <w:sz w:val="20"/>
                <w:szCs w:val="20"/>
                <w:color w:val="auto"/>
              </w:rPr>
            </w:pPr>
            <w:r>
              <w:rPr>
                <w:rFonts w:ascii="Arial" w:cs="Arial" w:eastAsia="Arial" w:hAnsi="Arial"/>
                <w:sz w:val="18"/>
                <w:szCs w:val="18"/>
                <w:color w:val="auto"/>
              </w:rPr>
              <w:t>Other liabilities</w:t>
            </w:r>
          </w:p>
        </w:tc>
        <w:tc>
          <w:tcPr>
            <w:tcW w:w="72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5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279</w:t>
            </w:r>
          </w:p>
        </w:tc>
        <w:tc>
          <w:tcPr>
            <w:tcW w:w="28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236</w:t>
            </w:r>
          </w:p>
        </w:tc>
      </w:tr>
      <w:tr>
        <w:trPr>
          <w:trHeight w:val="465"/>
        </w:trPr>
        <w:tc>
          <w:tcPr>
            <w:tcW w:w="3860" w:type="dxa"/>
            <w:vAlign w:val="bottom"/>
          </w:tcPr>
          <w:p>
            <w:pPr>
              <w:spacing w:after="0"/>
              <w:rPr>
                <w:sz w:val="20"/>
                <w:szCs w:val="20"/>
                <w:color w:val="auto"/>
              </w:rPr>
            </w:pPr>
            <w:r>
              <w:rPr>
                <w:rFonts w:ascii="Arial" w:cs="Arial" w:eastAsia="Arial" w:hAnsi="Arial"/>
                <w:sz w:val="18"/>
                <w:szCs w:val="18"/>
                <w:b w:val="1"/>
                <w:bCs w:val="1"/>
                <w:color w:val="auto"/>
              </w:rPr>
              <w:t>Note 11. Accrued Liabilities</w:t>
            </w:r>
          </w:p>
        </w:tc>
        <w:tc>
          <w:tcPr>
            <w:tcW w:w="3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3860" w:type="dxa"/>
            <w:vAlign w:val="bottom"/>
            <w:tcBorders>
              <w:bottom w:val="single" w:sz="8" w:color="FF4400"/>
            </w:tcBorders>
          </w:tcPr>
          <w:p>
            <w:pPr>
              <w:spacing w:after="0"/>
              <w:rPr>
                <w:sz w:val="24"/>
                <w:szCs w:val="24"/>
                <w:color w:val="auto"/>
              </w:rPr>
            </w:pPr>
          </w:p>
        </w:tc>
        <w:tc>
          <w:tcPr>
            <w:tcW w:w="3060" w:type="dxa"/>
            <w:vAlign w:val="bottom"/>
            <w:tcBorders>
              <w:bottom w:val="single" w:sz="8" w:color="FF4400"/>
            </w:tcBorders>
          </w:tcPr>
          <w:p>
            <w:pPr>
              <w:spacing w:after="0"/>
              <w:rPr>
                <w:sz w:val="24"/>
                <w:szCs w:val="24"/>
                <w:color w:val="auto"/>
              </w:rPr>
            </w:pPr>
          </w:p>
        </w:tc>
        <w:tc>
          <w:tcPr>
            <w:tcW w:w="720" w:type="dxa"/>
            <w:vAlign w:val="bottom"/>
            <w:tcBorders>
              <w:bottom w:val="single" w:sz="8" w:color="FF4400"/>
            </w:tcBorders>
          </w:tcPr>
          <w:p>
            <w:pPr>
              <w:spacing w:after="0"/>
              <w:rPr>
                <w:sz w:val="24"/>
                <w:szCs w:val="24"/>
                <w:color w:val="auto"/>
              </w:rPr>
            </w:pPr>
          </w:p>
        </w:tc>
        <w:tc>
          <w:tcPr>
            <w:tcW w:w="1720" w:type="dxa"/>
            <w:vAlign w:val="bottom"/>
            <w:tcBorders>
              <w:bottom w:val="single" w:sz="8" w:color="FF4400"/>
            </w:tcBorders>
            <w:gridSpan w:val="2"/>
          </w:tcPr>
          <w:p>
            <w:pPr>
              <w:jc w:val="right"/>
              <w:ind w:right="212"/>
              <w:spacing w:after="0"/>
              <w:rPr>
                <w:sz w:val="20"/>
                <w:szCs w:val="20"/>
                <w:color w:val="auto"/>
              </w:rPr>
            </w:pPr>
            <w:r>
              <w:rPr>
                <w:rFonts w:ascii="Arial" w:cs="Arial" w:eastAsia="Arial" w:hAnsi="Arial"/>
                <w:sz w:val="14"/>
                <w:szCs w:val="14"/>
                <w:b w:val="1"/>
                <w:bCs w:val="1"/>
                <w:color w:val="auto"/>
              </w:rPr>
              <w:t>September 26, 2026</w:t>
            </w:r>
          </w:p>
        </w:tc>
        <w:tc>
          <w:tcPr>
            <w:tcW w:w="280" w:type="dxa"/>
            <w:vAlign w:val="bottom"/>
            <w:tcBorders>
              <w:bottom w:val="single" w:sz="8" w:color="FF4400"/>
            </w:tcBorders>
          </w:tcPr>
          <w:p>
            <w:pPr>
              <w:spacing w:after="0"/>
              <w:rPr>
                <w:sz w:val="24"/>
                <w:szCs w:val="24"/>
                <w:color w:val="auto"/>
              </w:rPr>
            </w:pPr>
          </w:p>
        </w:tc>
        <w:tc>
          <w:tcPr>
            <w:tcW w:w="1600" w:type="dxa"/>
            <w:vAlign w:val="bottom"/>
            <w:tcBorders>
              <w:bottom w:val="single" w:sz="8" w:color="FF4400"/>
            </w:tcBorders>
          </w:tcPr>
          <w:p>
            <w:pPr>
              <w:ind w:left="40"/>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38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Customer-related liabilities</w:t>
            </w:r>
          </w:p>
        </w:tc>
        <w:tc>
          <w:tcPr>
            <w:tcW w:w="306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BFBF"/>
            </w:tcBorders>
          </w:tcPr>
          <w:p>
            <w:pPr>
              <w:spacing w:after="0"/>
              <w:rPr>
                <w:sz w:val="19"/>
                <w:szCs w:val="19"/>
                <w:color w:val="auto"/>
              </w:rPr>
            </w:pPr>
          </w:p>
        </w:tc>
        <w:tc>
          <w:tcPr>
            <w:tcW w:w="15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407</w:t>
            </w:r>
          </w:p>
        </w:tc>
        <w:tc>
          <w:tcPr>
            <w:tcW w:w="28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712</w:t>
            </w:r>
          </w:p>
        </w:tc>
      </w:tr>
      <w:tr>
        <w:trPr>
          <w:trHeight w:val="223"/>
        </w:trPr>
        <w:tc>
          <w:tcPr>
            <w:tcW w:w="38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Real estate, VAT, and other tax liabilities</w:t>
            </w:r>
          </w:p>
        </w:tc>
        <w:tc>
          <w:tcPr>
            <w:tcW w:w="306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5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268</w:t>
            </w:r>
          </w:p>
        </w:tc>
        <w:tc>
          <w:tcPr>
            <w:tcW w:w="28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301</w:t>
            </w:r>
          </w:p>
        </w:tc>
      </w:tr>
      <w:tr>
        <w:trPr>
          <w:trHeight w:val="223"/>
        </w:trPr>
        <w:tc>
          <w:tcPr>
            <w:tcW w:w="6920" w:type="dxa"/>
            <w:vAlign w:val="bottom"/>
            <w:tcBorders>
              <w:bottom w:val="single" w:sz="8" w:color="BFBFBF"/>
            </w:tcBorders>
            <w:gridSpan w:val="2"/>
          </w:tcPr>
          <w:p>
            <w:pPr>
              <w:ind w:left="20"/>
              <w:spacing w:after="0"/>
              <w:rPr>
                <w:sz w:val="20"/>
                <w:szCs w:val="20"/>
                <w:color w:val="auto"/>
              </w:rPr>
            </w:pPr>
            <w:r>
              <w:rPr>
                <w:rFonts w:ascii="Arial" w:cs="Arial" w:eastAsia="Arial" w:hAnsi="Arial"/>
                <w:sz w:val="18"/>
                <w:szCs w:val="18"/>
                <w:color w:val="auto"/>
              </w:rPr>
              <w:t>Compensation, benefits, and other employee-related liabilities</w:t>
            </w:r>
          </w:p>
        </w:tc>
        <w:tc>
          <w:tcPr>
            <w:tcW w:w="72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5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406</w:t>
            </w:r>
          </w:p>
        </w:tc>
        <w:tc>
          <w:tcPr>
            <w:tcW w:w="28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38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Supplier-related liabilities</w:t>
            </w:r>
          </w:p>
        </w:tc>
        <w:tc>
          <w:tcPr>
            <w:tcW w:w="306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5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241</w:t>
            </w:r>
          </w:p>
        </w:tc>
        <w:tc>
          <w:tcPr>
            <w:tcW w:w="28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250</w:t>
            </w:r>
          </w:p>
        </w:tc>
      </w:tr>
      <w:tr>
        <w:trPr>
          <w:trHeight w:val="223"/>
        </w:trPr>
        <w:tc>
          <w:tcPr>
            <w:tcW w:w="38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Accrued interest</w:t>
            </w:r>
          </w:p>
        </w:tc>
        <w:tc>
          <w:tcPr>
            <w:tcW w:w="306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5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Environmental liabilities</w:t>
            </w:r>
          </w:p>
        </w:tc>
        <w:tc>
          <w:tcPr>
            <w:tcW w:w="306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5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173</w:t>
            </w:r>
          </w:p>
        </w:tc>
        <w:tc>
          <w:tcPr>
            <w:tcW w:w="28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38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Warranty reserves</w:t>
            </w:r>
          </w:p>
        </w:tc>
        <w:tc>
          <w:tcPr>
            <w:tcW w:w="306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5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120</w:t>
            </w:r>
          </w:p>
        </w:tc>
        <w:tc>
          <w:tcPr>
            <w:tcW w:w="28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38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Operating lease liabilities</w:t>
            </w:r>
          </w:p>
        </w:tc>
        <w:tc>
          <w:tcPr>
            <w:tcW w:w="306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5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BFBFBF"/>
            </w:tcBorders>
          </w:tcPr>
          <w:p>
            <w:pPr>
              <w:spacing w:after="0"/>
              <w:rPr>
                <w:sz w:val="19"/>
                <w:szCs w:val="19"/>
                <w:color w:val="auto"/>
              </w:rPr>
            </w:pPr>
          </w:p>
        </w:tc>
        <w:tc>
          <w:tcPr>
            <w:tcW w:w="1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386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spacing w:after="0"/>
              <w:rPr>
                <w:sz w:val="19"/>
                <w:szCs w:val="19"/>
                <w:color w:val="auto"/>
              </w:rPr>
            </w:pPr>
          </w:p>
        </w:tc>
        <w:tc>
          <w:tcPr>
            <w:tcW w:w="160" w:type="dxa"/>
            <w:vAlign w:val="bottom"/>
            <w:tcBorders>
              <w:bottom w:val="single" w:sz="8" w:color="384348"/>
            </w:tcBorders>
          </w:tcPr>
          <w:p>
            <w:pPr>
              <w:spacing w:after="0"/>
              <w:rPr>
                <w:sz w:val="19"/>
                <w:szCs w:val="19"/>
                <w:color w:val="auto"/>
              </w:rPr>
            </w:pPr>
          </w:p>
        </w:tc>
        <w:tc>
          <w:tcPr>
            <w:tcW w:w="156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color w:val="auto"/>
              </w:rPr>
              <w:t>174</w:t>
            </w:r>
          </w:p>
        </w:tc>
        <w:tc>
          <w:tcPr>
            <w:tcW w:w="280" w:type="dxa"/>
            <w:vAlign w:val="bottom"/>
            <w:tcBorders>
              <w:bottom w:val="single" w:sz="8" w:color="384348"/>
            </w:tcBorders>
          </w:tcPr>
          <w:p>
            <w:pPr>
              <w:spacing w:after="0"/>
              <w:rPr>
                <w:sz w:val="19"/>
                <w:szCs w:val="19"/>
                <w:color w:val="auto"/>
              </w:rPr>
            </w:pPr>
          </w:p>
        </w:tc>
        <w:tc>
          <w:tcPr>
            <w:tcW w:w="16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222</w:t>
            </w:r>
          </w:p>
        </w:tc>
      </w:tr>
      <w:tr>
        <w:trPr>
          <w:trHeight w:val="223"/>
        </w:trPr>
        <w:tc>
          <w:tcPr>
            <w:tcW w:w="386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Total Accrued liabilities</w:t>
            </w:r>
          </w:p>
        </w:tc>
        <w:tc>
          <w:tcPr>
            <w:tcW w:w="306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384348"/>
            </w:tcBorders>
          </w:tcPr>
          <w:p>
            <w:pPr>
              <w:spacing w:after="0"/>
              <w:rPr>
                <w:sz w:val="19"/>
                <w:szCs w:val="19"/>
                <w:color w:val="auto"/>
              </w:rPr>
            </w:pPr>
          </w:p>
        </w:tc>
        <w:tc>
          <w:tcPr>
            <w:tcW w:w="156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1,857</w:t>
            </w:r>
          </w:p>
        </w:tc>
        <w:tc>
          <w:tcPr>
            <w:tcW w:w="28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 Plans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to the Spin-off, Honeywell maintained stock-based compensation plans under which it granted stock options and restricted stock units (“RSUs”) to certain management level employees, including certain employees of the Company. For all periods prior to the Spin-off, the Condensed Consolidated Statements of Operations reflect an allocation of these expenses on a specific identification basis for employees who exclusively supported the Company or, when specific identification is not practicable, a proportional cost allocation method primarily based on revenue, depending on the nature of the services. The amounts presented are not necessarily indicative of future awards and do not necessarily reflect the costs that the Company would have incurred as an independent company for the periods presented prior to the Spin-off.</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June 2026, the Board of Directors approved the 2026 Stock Incentive Plan of Honeywell Aerospace Inc. and its Affiliates (“Aerospace 2026 Plan”), pursuant to which up to 35 million shares may be issued.</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Spin-off, in accordance with the Employee Matters Agreement, stock options and RSUs granted under Honeywell's equity compensation plans to employees of the Company and Honeywell were adjusted to reflect the impact of the Spin-off on these awards. To preserve the aggregate intrinsic value of Honeywell awards held prior to the Spin-off, the awards held by Aerospace employees were converted into equivalent awards under the Aerospace 2026 Plan.</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executives and employees of Honeywell that held Honeywell stock options and RSUs received an adjusted award consisting of both an award denominated in Honeywell equity and an award denominated in Aerospace equity. These awards were adjusted in accordance with the basket method, resulting in participants retaining units of the existing Honeywell award while receiving additional units of an Aerospace award. Upon vesting, the Company is obligated to settle all of the outstanding awards denominated in Aerospace equity.</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Share counts for stock-based compensation discussed herein represent outstanding shares to be remitted by the Company to (i) its employees in connection with the Aerospace 2026 Plan adopted by the Company and (ii) employees of Honeywell that received awards denominated in the Company’s equity. The Company recognizes stock-based compensation expense related to unvested awards held by its employees.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Stock-based compensation cost, which is recognized in Selling, general, and administrative expenses in the Condensed Consolidated Statements of Operations, is provided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Pr>
          <w:p>
            <w:pPr>
              <w:spacing w:after="0"/>
              <w:rPr>
                <w:sz w:val="17"/>
                <w:szCs w:val="17"/>
                <w:color w:val="auto"/>
              </w:rPr>
            </w:pPr>
          </w:p>
        </w:tc>
        <w:tc>
          <w:tcPr>
            <w:tcW w:w="440" w:type="dxa"/>
            <w:vAlign w:val="bottom"/>
            <w:tcBorders>
              <w:bottom w:val="single" w:sz="8" w:color="FF4400"/>
            </w:tcBorders>
          </w:tcPr>
          <w:p>
            <w:pPr>
              <w:spacing w:after="0"/>
              <w:rPr>
                <w:sz w:val="17"/>
                <w:szCs w:val="17"/>
                <w:color w:val="auto"/>
              </w:rPr>
            </w:pPr>
          </w:p>
        </w:tc>
        <w:tc>
          <w:tcPr>
            <w:tcW w:w="2020" w:type="dxa"/>
            <w:vAlign w:val="bottom"/>
            <w:tcBorders>
              <w:bottom w:val="single" w:sz="8" w:color="FF4400"/>
            </w:tcBorders>
            <w:gridSpan w:val="2"/>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FF4400"/>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FF4400"/>
            </w:tcBorders>
          </w:tcPr>
          <w:p>
            <w:pPr>
              <w:spacing w:after="0"/>
              <w:rPr>
                <w:sz w:val="17"/>
                <w:szCs w:val="17"/>
                <w:color w:val="auto"/>
              </w:rPr>
            </w:pPr>
          </w:p>
        </w:tc>
        <w:tc>
          <w:tcPr>
            <w:tcW w:w="1980" w:type="dxa"/>
            <w:vAlign w:val="bottom"/>
            <w:tcBorders>
              <w:bottom w:val="single" w:sz="8" w:color="FF4400"/>
            </w:tcBorders>
            <w:gridSpan w:val="2"/>
          </w:tcPr>
          <w:p>
            <w:pPr>
              <w:jc w:val="right"/>
              <w:ind w:right="196"/>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FF4400"/>
            </w:tcBorders>
          </w:tcPr>
          <w:p>
            <w:pPr>
              <w:spacing w:after="0"/>
              <w:rPr>
                <w:sz w:val="17"/>
                <w:szCs w:val="17"/>
                <w:color w:val="auto"/>
              </w:rPr>
            </w:pPr>
          </w:p>
        </w:tc>
      </w:tr>
      <w:tr>
        <w:trPr>
          <w:trHeight w:val="196"/>
        </w:trPr>
        <w:tc>
          <w:tcPr>
            <w:tcW w:w="5180" w:type="dxa"/>
            <w:vAlign w:val="bottom"/>
            <w:tcBorders>
              <w:bottom w:val="single" w:sz="8" w:color="FF4400"/>
            </w:tcBorders>
          </w:tcPr>
          <w:p>
            <w:pPr>
              <w:spacing w:after="0"/>
              <w:rPr>
                <w:sz w:val="17"/>
                <w:szCs w:val="17"/>
                <w:color w:val="auto"/>
              </w:rPr>
            </w:pPr>
          </w:p>
        </w:tc>
        <w:tc>
          <w:tcPr>
            <w:tcW w:w="1480" w:type="dxa"/>
            <w:vAlign w:val="bottom"/>
            <w:tcBorders>
              <w:bottom w:val="single" w:sz="8" w:color="FF4400"/>
            </w:tcBorders>
            <w:gridSpan w:val="2"/>
          </w:tcPr>
          <w:p>
            <w:pPr>
              <w:jc w:val="right"/>
              <w:spacing w:after="0"/>
              <w:rPr>
                <w:sz w:val="20"/>
                <w:szCs w:val="20"/>
                <w:color w:val="auto"/>
              </w:rPr>
            </w:pPr>
            <w:r>
              <w:rPr>
                <w:rFonts w:ascii="Arial" w:cs="Arial" w:eastAsia="Arial" w:hAnsi="Arial"/>
                <w:sz w:val="14"/>
                <w:szCs w:val="14"/>
                <w:b w:val="1"/>
                <w:bCs w:val="1"/>
                <w:color w:val="auto"/>
              </w:rPr>
              <w:t>September 26, 2026</w:t>
            </w:r>
          </w:p>
        </w:tc>
        <w:tc>
          <w:tcPr>
            <w:tcW w:w="1600" w:type="dxa"/>
            <w:vAlign w:val="bottom"/>
            <w:tcBorders>
              <w:bottom w:val="single" w:sz="8" w:color="FF4400"/>
            </w:tcBorders>
            <w:gridSpan w:val="3"/>
          </w:tcPr>
          <w:p>
            <w:pPr>
              <w:ind w:left="100"/>
              <w:spacing w:after="0"/>
              <w:rPr>
                <w:sz w:val="20"/>
                <w:szCs w:val="20"/>
                <w:color w:val="auto"/>
              </w:rPr>
            </w:pPr>
            <w:r>
              <w:rPr>
                <w:rFonts w:ascii="Arial" w:cs="Arial" w:eastAsia="Arial" w:hAnsi="Arial"/>
                <w:sz w:val="14"/>
                <w:szCs w:val="14"/>
                <w:b w:val="1"/>
                <w:bCs w:val="1"/>
                <w:color w:val="auto"/>
              </w:rPr>
              <w:t>September 27, 2025</w:t>
            </w:r>
          </w:p>
        </w:tc>
        <w:tc>
          <w:tcPr>
            <w:tcW w:w="1480" w:type="dxa"/>
            <w:vAlign w:val="bottom"/>
            <w:tcBorders>
              <w:bottom w:val="single" w:sz="8" w:color="FF4400"/>
            </w:tcBorders>
            <w:gridSpan w:val="2"/>
          </w:tcPr>
          <w:p>
            <w:pPr>
              <w:jc w:val="right"/>
              <w:spacing w:after="0"/>
              <w:rPr>
                <w:sz w:val="20"/>
                <w:szCs w:val="20"/>
                <w:color w:val="auto"/>
              </w:rPr>
            </w:pPr>
            <w:r>
              <w:rPr>
                <w:rFonts w:ascii="Arial" w:cs="Arial" w:eastAsia="Arial" w:hAnsi="Arial"/>
                <w:sz w:val="14"/>
                <w:szCs w:val="14"/>
                <w:b w:val="1"/>
                <w:bCs w:val="1"/>
                <w:color w:val="auto"/>
              </w:rPr>
              <w:t>September 26, 2026</w:t>
            </w:r>
          </w:p>
        </w:tc>
        <w:tc>
          <w:tcPr>
            <w:tcW w:w="1500" w:type="dxa"/>
            <w:vAlign w:val="bottom"/>
            <w:tcBorders>
              <w:bottom w:val="single" w:sz="8" w:color="FF4400"/>
            </w:tcBorders>
            <w:gridSpan w:val="2"/>
          </w:tcPr>
          <w:p>
            <w:pPr>
              <w:jc w:val="right"/>
              <w:spacing w:after="0"/>
              <w:rPr>
                <w:sz w:val="20"/>
                <w:szCs w:val="20"/>
                <w:color w:val="auto"/>
              </w:rPr>
            </w:pPr>
            <w:r>
              <w:rPr>
                <w:rFonts w:ascii="Arial" w:cs="Arial" w:eastAsia="Arial" w:hAnsi="Arial"/>
                <w:sz w:val="14"/>
                <w:szCs w:val="14"/>
                <w:b w:val="1"/>
                <w:bCs w:val="1"/>
                <w:color w:val="auto"/>
              </w:rPr>
              <w:t>September 27, 2025</w:t>
            </w:r>
          </w:p>
        </w:tc>
      </w:tr>
      <w:tr>
        <w:trPr>
          <w:trHeight w:val="224"/>
        </w:trPr>
        <w:tc>
          <w:tcPr>
            <w:tcW w:w="518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Stock-based compensation expense (pre-tax)</w:t>
            </w:r>
          </w:p>
        </w:tc>
        <w:tc>
          <w:tcPr>
            <w:tcW w:w="44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spacing w:after="0"/>
              <w:rPr>
                <w:sz w:val="19"/>
                <w:szCs w:val="19"/>
                <w:color w:val="auto"/>
              </w:rPr>
            </w:pPr>
          </w:p>
        </w:tc>
        <w:tc>
          <w:tcPr>
            <w:tcW w:w="980" w:type="dxa"/>
            <w:vAlign w:val="bottom"/>
            <w:tcBorders>
              <w:bottom w:val="single" w:sz="8" w:color="BFBFBF"/>
            </w:tcBorders>
          </w:tcPr>
          <w:p>
            <w:pPr>
              <w:spacing w:after="0"/>
              <w:rPr>
                <w:sz w:val="19"/>
                <w:szCs w:val="19"/>
                <w:color w:val="auto"/>
              </w:rPr>
            </w:pPr>
          </w:p>
        </w:tc>
        <w:tc>
          <w:tcPr>
            <w:tcW w:w="520" w:type="dxa"/>
            <w:vAlign w:val="bottom"/>
            <w:tcBorders>
              <w:bottom w:val="single" w:sz="8" w:color="BFBFBF"/>
            </w:tcBorders>
          </w:tcPr>
          <w:p>
            <w:pPr>
              <w:spacing w:after="0"/>
              <w:rPr>
                <w:sz w:val="19"/>
                <w:szCs w:val="19"/>
                <w:color w:val="auto"/>
              </w:rPr>
            </w:pPr>
          </w:p>
        </w:tc>
        <w:tc>
          <w:tcPr>
            <w:tcW w:w="100" w:type="dxa"/>
            <w:vAlign w:val="bottom"/>
            <w:tcBorders>
              <w:bottom w:val="single" w:sz="8" w:color="BFBFBF"/>
            </w:tcBorders>
          </w:tcPr>
          <w:p>
            <w:pPr>
              <w:spacing w:after="0"/>
              <w:rPr>
                <w:sz w:val="19"/>
                <w:szCs w:val="19"/>
                <w:color w:val="auto"/>
              </w:rPr>
            </w:pPr>
          </w:p>
        </w:tc>
        <w:tc>
          <w:tcPr>
            <w:tcW w:w="460" w:type="dxa"/>
            <w:vAlign w:val="bottom"/>
            <w:tcBorders>
              <w:bottom w:val="single" w:sz="8" w:color="BFBFBF"/>
            </w:tcBorders>
          </w:tcPr>
          <w:p>
            <w:pPr>
              <w:spacing w:after="0"/>
              <w:rPr>
                <w:sz w:val="19"/>
                <w:szCs w:val="19"/>
                <w:color w:val="auto"/>
              </w:rPr>
            </w:pPr>
          </w:p>
        </w:tc>
        <w:tc>
          <w:tcPr>
            <w:tcW w:w="1020" w:type="dxa"/>
            <w:vAlign w:val="bottom"/>
            <w:tcBorders>
              <w:bottom w:val="single" w:sz="8" w:color="BFBFBF"/>
            </w:tcBorders>
          </w:tcPr>
          <w:p>
            <w:pPr>
              <w:spacing w:after="0"/>
              <w:rPr>
                <w:sz w:val="19"/>
                <w:szCs w:val="19"/>
                <w:color w:val="auto"/>
              </w:rPr>
            </w:pPr>
          </w:p>
        </w:tc>
        <w:tc>
          <w:tcPr>
            <w:tcW w:w="960" w:type="dxa"/>
            <w:vAlign w:val="bottom"/>
            <w:tcBorders>
              <w:bottom w:val="single" w:sz="8" w:color="BFBFBF"/>
            </w:tcBorders>
          </w:tcPr>
          <w:p>
            <w:pPr>
              <w:spacing w:after="0"/>
              <w:rPr>
                <w:sz w:val="19"/>
                <w:szCs w:val="19"/>
                <w:color w:val="auto"/>
              </w:rPr>
            </w:pPr>
          </w:p>
        </w:tc>
        <w:tc>
          <w:tcPr>
            <w:tcW w:w="540" w:type="dxa"/>
            <w:vAlign w:val="bottom"/>
            <w:tcBorders>
              <w:bottom w:val="single" w:sz="8" w:color="BFBFBF"/>
            </w:tcBorders>
          </w:tcPr>
          <w:p>
            <w:pPr>
              <w:spacing w:after="0"/>
              <w:rPr>
                <w:sz w:val="19"/>
                <w:szCs w:val="19"/>
                <w:color w:val="auto"/>
              </w:rPr>
            </w:pPr>
          </w:p>
        </w:tc>
      </w:tr>
      <w:tr>
        <w:trPr>
          <w:trHeight w:val="223"/>
        </w:trPr>
        <w:tc>
          <w:tcPr>
            <w:tcW w:w="518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Direct compensation expense</w:t>
            </w:r>
          </w:p>
        </w:tc>
        <w:tc>
          <w:tcPr>
            <w:tcW w:w="440" w:type="dxa"/>
            <w:vAlign w:val="bottom"/>
            <w:tcBorders>
              <w:bottom w:val="single" w:sz="8" w:color="BFBFBF"/>
            </w:tcBorders>
          </w:tcPr>
          <w:p>
            <w:pPr>
              <w:jc w:val="right"/>
              <w:ind w:right="23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BFBF"/>
            </w:tcBorders>
          </w:tcPr>
          <w:p>
            <w:pPr>
              <w:jc w:val="right"/>
              <w:ind w:right="33"/>
              <w:spacing w:after="0"/>
              <w:rPr>
                <w:sz w:val="20"/>
                <w:szCs w:val="20"/>
                <w:color w:val="auto"/>
              </w:rPr>
            </w:pPr>
            <w:r>
              <w:rPr>
                <w:rFonts w:ascii="Arial" w:cs="Arial" w:eastAsia="Arial" w:hAnsi="Arial"/>
                <w:sz w:val="18"/>
                <w:szCs w:val="18"/>
                <w:color w:val="auto"/>
              </w:rPr>
              <w:t>28</w:t>
            </w:r>
          </w:p>
        </w:tc>
        <w:tc>
          <w:tcPr>
            <w:tcW w:w="980" w:type="dxa"/>
            <w:vAlign w:val="bottom"/>
            <w:tcBorders>
              <w:bottom w:val="single" w:sz="8" w:color="BFBFBF"/>
            </w:tcBorders>
          </w:tcPr>
          <w:p>
            <w:pPr>
              <w:jc w:val="right"/>
              <w:ind w:right="71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BFBFBF"/>
            </w:tcBorders>
          </w:tcPr>
          <w:p>
            <w:pPr>
              <w:spacing w:after="0"/>
              <w:rPr>
                <w:sz w:val="19"/>
                <w:szCs w:val="19"/>
                <w:color w:val="auto"/>
              </w:rPr>
            </w:pPr>
          </w:p>
        </w:tc>
        <w:tc>
          <w:tcPr>
            <w:tcW w:w="460" w:type="dxa"/>
            <w:vAlign w:val="bottom"/>
            <w:tcBorders>
              <w:bottom w:val="single" w:sz="8" w:color="BFBFBF"/>
            </w:tcBorders>
          </w:tcPr>
          <w:p>
            <w:pPr>
              <w:jc w:val="right"/>
              <w:ind w:right="2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BFBF"/>
            </w:tcBorders>
          </w:tcPr>
          <w:p>
            <w:pPr>
              <w:jc w:val="right"/>
              <w:ind w:right="33"/>
              <w:spacing w:after="0"/>
              <w:rPr>
                <w:sz w:val="20"/>
                <w:szCs w:val="20"/>
                <w:color w:val="auto"/>
              </w:rPr>
            </w:pPr>
            <w:r>
              <w:rPr>
                <w:rFonts w:ascii="Arial" w:cs="Arial" w:eastAsia="Arial" w:hAnsi="Arial"/>
                <w:sz w:val="18"/>
                <w:szCs w:val="18"/>
                <w:color w:val="auto"/>
              </w:rPr>
              <w:t>57</w:t>
            </w:r>
          </w:p>
        </w:tc>
        <w:tc>
          <w:tcPr>
            <w:tcW w:w="960" w:type="dxa"/>
            <w:vAlign w:val="bottom"/>
            <w:tcBorders>
              <w:bottom w:val="single" w:sz="8" w:color="BFBFBF"/>
            </w:tcBorders>
          </w:tcPr>
          <w:p>
            <w:pPr>
              <w:jc w:val="right"/>
              <w:ind w:right="69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Allocated compensation expense</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Stock-based compensation expense (pre-tax)</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28</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89</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r>
      <w:tr>
        <w:trPr>
          <w:trHeight w:val="223"/>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benefit recognized</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Stock-based compensation expense (after-tax)</w:t>
            </w: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21</w:t>
            </w:r>
          </w:p>
        </w:tc>
        <w:tc>
          <w:tcPr>
            <w:tcW w:w="98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69</w:t>
            </w:r>
          </w:p>
        </w:tc>
        <w:tc>
          <w:tcPr>
            <w:tcW w:w="96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exercise price, term, and other conditions applicable to each option granted under the Aerospace 2026 Plan are determined by the Compensation Committee of the Board of Directors. The exercise price of stock options is set on the grant date and may not be less than the fair market value per share of the Company's stock on that date. The fair value is recognized as an expense over the employee’s requisite service period (generally the vesting period of the award). Options under the Aerospace 2026 Plan generally vest over either a three or four-year period and expire after 10 years. Forfeitures are estimated at the time of grant to recognize expense for those awards expected to vest and are based on historical forfeiture rates.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The Company does not have sufficient historical information on which to base expected volatility. As such, our volatility assumption is based on the historical and implied volatility of similar public companies, which were identified considering factors such as industry, stage of life cycle, size, and financial leverage. Because the Company does not have sufficient historical option exercise experience upon which we can estimate the expected term we estimate the expected term using the average of the vesting period and the contractual period of the award. The risk-free rate for periods within the contractual life of the option is based on the U.S. treasury yield curve in effect at the time of grant.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weighted average assumptions used in determining the fair value of stock options: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100" w:type="dxa"/>
            <w:vAlign w:val="bottom"/>
          </w:tcPr>
          <w:p>
            <w:pPr>
              <w:spacing w:after="0"/>
              <w:rPr>
                <w:sz w:val="17"/>
                <w:szCs w:val="17"/>
                <w:color w:val="auto"/>
              </w:rPr>
            </w:pPr>
          </w:p>
        </w:tc>
        <w:tc>
          <w:tcPr>
            <w:tcW w:w="240" w:type="dxa"/>
            <w:vAlign w:val="bottom"/>
            <w:tcBorders>
              <w:bottom w:val="single" w:sz="8" w:color="FF4400"/>
            </w:tcBorders>
          </w:tcPr>
          <w:p>
            <w:pPr>
              <w:spacing w:after="0"/>
              <w:rPr>
                <w:sz w:val="17"/>
                <w:szCs w:val="17"/>
                <w:color w:val="auto"/>
              </w:rPr>
            </w:pPr>
          </w:p>
        </w:tc>
        <w:tc>
          <w:tcPr>
            <w:tcW w:w="1900" w:type="dxa"/>
            <w:vAlign w:val="bottom"/>
            <w:tcBorders>
              <w:bottom w:val="single" w:sz="8" w:color="FF4400"/>
            </w:tcBorders>
          </w:tcPr>
          <w:p>
            <w:pPr>
              <w:jc w:val="right"/>
              <w:ind w:right="275"/>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9100" w:type="dxa"/>
            <w:vAlign w:val="bottom"/>
            <w:tcBorders>
              <w:bottom w:val="single" w:sz="8" w:color="FF4400"/>
            </w:tcBorders>
          </w:tcPr>
          <w:p>
            <w:pPr>
              <w:spacing w:after="0"/>
              <w:rPr>
                <w:sz w:val="17"/>
                <w:szCs w:val="17"/>
                <w:color w:val="auto"/>
              </w:rPr>
            </w:pPr>
          </w:p>
        </w:tc>
        <w:tc>
          <w:tcPr>
            <w:tcW w:w="240" w:type="dxa"/>
            <w:vAlign w:val="bottom"/>
            <w:tcBorders>
              <w:bottom w:val="single" w:sz="8" w:color="FF4400"/>
            </w:tcBorders>
          </w:tcPr>
          <w:p>
            <w:pPr>
              <w:spacing w:after="0"/>
              <w:rPr>
                <w:sz w:val="17"/>
                <w:szCs w:val="17"/>
                <w:color w:val="auto"/>
              </w:rPr>
            </w:pPr>
          </w:p>
        </w:tc>
        <w:tc>
          <w:tcPr>
            <w:tcW w:w="1900" w:type="dxa"/>
            <w:vAlign w:val="bottom"/>
            <w:tcBorders>
              <w:bottom w:val="single" w:sz="8" w:color="FF4400"/>
            </w:tcBorders>
          </w:tcPr>
          <w:p>
            <w:pPr>
              <w:jc w:val="right"/>
              <w:ind w:right="315"/>
              <w:spacing w:after="0"/>
              <w:rPr>
                <w:sz w:val="20"/>
                <w:szCs w:val="20"/>
                <w:color w:val="auto"/>
              </w:rPr>
            </w:pPr>
            <w:r>
              <w:rPr>
                <w:rFonts w:ascii="Arial" w:cs="Arial" w:eastAsia="Arial" w:hAnsi="Arial"/>
                <w:sz w:val="14"/>
                <w:szCs w:val="14"/>
                <w:b w:val="1"/>
                <w:bCs w:val="1"/>
                <w:color w:val="auto"/>
              </w:rPr>
              <w:t>September 26, 2026</w:t>
            </w:r>
          </w:p>
        </w:tc>
      </w:tr>
      <w:tr>
        <w:trPr>
          <w:trHeight w:val="224"/>
        </w:trPr>
        <w:tc>
          <w:tcPr>
            <w:tcW w:w="9100" w:type="dxa"/>
            <w:vAlign w:val="bottom"/>
            <w:tcBorders>
              <w:bottom w:val="single" w:sz="8" w:color="BFBFBF"/>
            </w:tcBorders>
          </w:tcPr>
          <w:p>
            <w:pPr>
              <w:ind w:left="20"/>
              <w:spacing w:after="0" w:line="224" w:lineRule="exact"/>
              <w:rPr>
                <w:sz w:val="20"/>
                <w:szCs w:val="20"/>
                <w:color w:val="auto"/>
              </w:rPr>
            </w:pPr>
            <w:r>
              <w:rPr>
                <w:rFonts w:ascii="Arial" w:cs="Arial" w:eastAsia="Arial" w:hAnsi="Arial"/>
                <w:sz w:val="18"/>
                <w:szCs w:val="18"/>
                <w:color w:val="auto"/>
              </w:rPr>
              <w:t>Weighted average fair value per share of options granted during the quarter</w:t>
            </w:r>
            <w:r>
              <w:rPr>
                <w:rFonts w:ascii="Arial" w:cs="Arial" w:eastAsia="Arial" w:hAnsi="Arial"/>
                <w:sz w:val="23"/>
                <w:szCs w:val="23"/>
                <w:color w:val="auto"/>
                <w:vertAlign w:val="superscript"/>
              </w:rPr>
              <w:t>(1)</w:t>
            </w:r>
          </w:p>
        </w:tc>
        <w:tc>
          <w:tcPr>
            <w:tcW w:w="240" w:type="dxa"/>
            <w:vAlign w:val="bottom"/>
            <w:tcBorders>
              <w:bottom w:val="single" w:sz="8" w:color="BFBFBF"/>
            </w:tcBorders>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BFBFBF"/>
            </w:tcBorders>
          </w:tcPr>
          <w:p>
            <w:pPr>
              <w:jc w:val="right"/>
              <w:ind w:right="155"/>
              <w:spacing w:after="0"/>
              <w:rPr>
                <w:sz w:val="20"/>
                <w:szCs w:val="20"/>
                <w:color w:val="auto"/>
              </w:rPr>
            </w:pPr>
            <w:r>
              <w:rPr>
                <w:rFonts w:ascii="Arial" w:cs="Arial" w:eastAsia="Arial" w:hAnsi="Arial"/>
                <w:sz w:val="18"/>
                <w:szCs w:val="18"/>
                <w:color w:val="auto"/>
              </w:rPr>
              <w:t>85.05</w:t>
            </w:r>
          </w:p>
        </w:tc>
      </w:tr>
      <w:tr>
        <w:trPr>
          <w:trHeight w:val="223"/>
        </w:trPr>
        <w:tc>
          <w:tcPr>
            <w:tcW w:w="91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Assumptions</w:t>
            </w:r>
          </w:p>
        </w:tc>
        <w:tc>
          <w:tcPr>
            <w:tcW w:w="240" w:type="dxa"/>
            <w:vAlign w:val="bottom"/>
            <w:tcBorders>
              <w:bottom w:val="single" w:sz="8" w:color="BFBFBF"/>
            </w:tcBorders>
          </w:tcPr>
          <w:p>
            <w:pPr>
              <w:spacing w:after="0"/>
              <w:rPr>
                <w:sz w:val="19"/>
                <w:szCs w:val="19"/>
                <w:color w:val="auto"/>
              </w:rPr>
            </w:pPr>
          </w:p>
        </w:tc>
        <w:tc>
          <w:tcPr>
            <w:tcW w:w="1900" w:type="dxa"/>
            <w:vAlign w:val="bottom"/>
            <w:tcBorders>
              <w:bottom w:val="single" w:sz="8" w:color="BFBFBF"/>
            </w:tcBorders>
          </w:tcPr>
          <w:p>
            <w:pPr>
              <w:spacing w:after="0"/>
              <w:rPr>
                <w:sz w:val="19"/>
                <w:szCs w:val="19"/>
                <w:color w:val="auto"/>
              </w:rPr>
            </w:pPr>
          </w:p>
        </w:tc>
      </w:tr>
      <w:tr>
        <w:trPr>
          <w:trHeight w:val="223"/>
        </w:trPr>
        <w:tc>
          <w:tcPr>
            <w:tcW w:w="910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Expected annual dividend yield</w:t>
            </w:r>
          </w:p>
        </w:tc>
        <w:tc>
          <w:tcPr>
            <w:tcW w:w="240" w:type="dxa"/>
            <w:vAlign w:val="bottom"/>
            <w:tcBorders>
              <w:bottom w:val="single" w:sz="8" w:color="BFBFBF"/>
            </w:tcBorders>
          </w:tcPr>
          <w:p>
            <w:pPr>
              <w:spacing w:after="0"/>
              <w:rPr>
                <w:sz w:val="19"/>
                <w:szCs w:val="19"/>
                <w:color w:val="auto"/>
              </w:rPr>
            </w:pPr>
          </w:p>
        </w:tc>
        <w:tc>
          <w:tcPr>
            <w:tcW w:w="19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0.98 %</w:t>
            </w:r>
          </w:p>
        </w:tc>
      </w:tr>
      <w:tr>
        <w:trPr>
          <w:trHeight w:val="223"/>
        </w:trPr>
        <w:tc>
          <w:tcPr>
            <w:tcW w:w="910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Expected volatility</w:t>
            </w:r>
          </w:p>
        </w:tc>
        <w:tc>
          <w:tcPr>
            <w:tcW w:w="240" w:type="dxa"/>
            <w:vAlign w:val="bottom"/>
            <w:tcBorders>
              <w:bottom w:val="single" w:sz="8" w:color="BFBFBF"/>
            </w:tcBorders>
          </w:tcPr>
          <w:p>
            <w:pPr>
              <w:spacing w:after="0"/>
              <w:rPr>
                <w:sz w:val="19"/>
                <w:szCs w:val="19"/>
                <w:color w:val="auto"/>
              </w:rPr>
            </w:pPr>
          </w:p>
        </w:tc>
        <w:tc>
          <w:tcPr>
            <w:tcW w:w="19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37.06 %</w:t>
            </w:r>
          </w:p>
        </w:tc>
      </w:tr>
      <w:tr>
        <w:trPr>
          <w:trHeight w:val="223"/>
        </w:trPr>
        <w:tc>
          <w:tcPr>
            <w:tcW w:w="910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Risk-free rate of return</w:t>
            </w:r>
          </w:p>
        </w:tc>
        <w:tc>
          <w:tcPr>
            <w:tcW w:w="240" w:type="dxa"/>
            <w:vAlign w:val="bottom"/>
            <w:tcBorders>
              <w:bottom w:val="single" w:sz="8" w:color="BFBFBF"/>
            </w:tcBorders>
          </w:tcPr>
          <w:p>
            <w:pPr>
              <w:spacing w:after="0"/>
              <w:rPr>
                <w:sz w:val="19"/>
                <w:szCs w:val="19"/>
                <w:color w:val="auto"/>
              </w:rPr>
            </w:pPr>
          </w:p>
        </w:tc>
        <w:tc>
          <w:tcPr>
            <w:tcW w:w="19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4.46 %</w:t>
            </w:r>
          </w:p>
        </w:tc>
      </w:tr>
      <w:tr>
        <w:trPr>
          <w:trHeight w:val="223"/>
        </w:trPr>
        <w:tc>
          <w:tcPr>
            <w:tcW w:w="910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Expected option term (years)</w:t>
            </w:r>
          </w:p>
        </w:tc>
        <w:tc>
          <w:tcPr>
            <w:tcW w:w="240" w:type="dxa"/>
            <w:vAlign w:val="bottom"/>
            <w:tcBorders>
              <w:bottom w:val="single" w:sz="8" w:color="BFBFBF"/>
            </w:tcBorders>
          </w:tcPr>
          <w:p>
            <w:pPr>
              <w:spacing w:after="0"/>
              <w:rPr>
                <w:sz w:val="19"/>
                <w:szCs w:val="19"/>
                <w:color w:val="auto"/>
              </w:rPr>
            </w:pPr>
          </w:p>
        </w:tc>
        <w:tc>
          <w:tcPr>
            <w:tcW w:w="19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7.00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Estimated on date of grant using Black-Scholes option-pricing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 activity for the three months ended September 26, 2026: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vMerge w:val="restart"/>
          </w:tcPr>
          <w:p>
            <w:pPr>
              <w:jc w:val="center"/>
              <w:ind w:left="4935"/>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rPr>
              <w:t>Weighted Average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9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2"/>
                <w:szCs w:val="12"/>
                <w:color w:val="auto"/>
              </w:rPr>
            </w:pPr>
          </w:p>
        </w:tc>
        <w:tc>
          <w:tcPr>
            <w:tcW w:w="14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900" w:type="dxa"/>
            <w:vAlign w:val="bottom"/>
          </w:tcPr>
          <w:p>
            <w:pPr>
              <w:jc w:val="center"/>
              <w:ind w:left="4915"/>
              <w:spacing w:after="0" w:line="149" w:lineRule="exact"/>
              <w:rPr>
                <w:sz w:val="20"/>
                <w:szCs w:val="20"/>
                <w:color w:val="auto"/>
              </w:rPr>
            </w:pPr>
            <w:r>
              <w:rPr>
                <w:rFonts w:ascii="Arial" w:cs="Arial" w:eastAsia="Arial" w:hAnsi="Arial"/>
                <w:sz w:val="14"/>
                <w:szCs w:val="14"/>
                <w:b w:val="1"/>
                <w:bCs w:val="1"/>
                <w:color w:val="auto"/>
              </w:rPr>
              <w:t>Options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rPr>
              <w:t>Exercise Price Per</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 Term</w:t>
            </w: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900" w:type="dxa"/>
            <w:vAlign w:val="bottom"/>
            <w:tcBorders>
              <w:bottom w:val="single" w:sz="8" w:color="FF4400"/>
            </w:tcBorders>
          </w:tcPr>
          <w:p>
            <w:pPr>
              <w:jc w:val="center"/>
              <w:ind w:left="4955"/>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FF4400"/>
            </w:tcBorders>
          </w:tcPr>
          <w:p>
            <w:pPr>
              <w:spacing w:after="0"/>
              <w:rPr>
                <w:sz w:val="16"/>
                <w:szCs w:val="16"/>
                <w:color w:val="auto"/>
              </w:rPr>
            </w:pPr>
          </w:p>
        </w:tc>
        <w:tc>
          <w:tcPr>
            <w:tcW w:w="220" w:type="dxa"/>
            <w:vAlign w:val="bottom"/>
            <w:tcBorders>
              <w:bottom w:val="single" w:sz="8" w:color="FF4400"/>
            </w:tcBorders>
          </w:tcPr>
          <w:p>
            <w:pPr>
              <w:spacing w:after="0"/>
              <w:rPr>
                <w:sz w:val="16"/>
                <w:szCs w:val="16"/>
                <w:color w:val="auto"/>
              </w:rPr>
            </w:pPr>
          </w:p>
        </w:tc>
        <w:tc>
          <w:tcPr>
            <w:tcW w:w="1520" w:type="dxa"/>
            <w:vAlign w:val="bottom"/>
            <w:tcBorders>
              <w:bottom w:val="single" w:sz="8" w:color="FF4400"/>
            </w:tcBorders>
          </w:tcPr>
          <w:p>
            <w:pPr>
              <w:jc w:val="center"/>
              <w:ind w:right="155"/>
              <w:spacing w:after="0"/>
              <w:rPr>
                <w:sz w:val="20"/>
                <w:szCs w:val="20"/>
                <w:color w:val="auto"/>
              </w:rPr>
            </w:pPr>
            <w:r>
              <w:rPr>
                <w:rFonts w:ascii="Arial" w:cs="Arial" w:eastAsia="Arial" w:hAnsi="Arial"/>
                <w:sz w:val="14"/>
                <w:szCs w:val="14"/>
                <w:b w:val="1"/>
                <w:bCs w:val="1"/>
                <w:color w:val="auto"/>
              </w:rPr>
              <w:t>Share</w:t>
            </w:r>
          </w:p>
        </w:tc>
        <w:tc>
          <w:tcPr>
            <w:tcW w:w="1620" w:type="dxa"/>
            <w:vAlign w:val="bottom"/>
            <w:tcBorders>
              <w:bottom w:val="single" w:sz="8" w:color="FF4400"/>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60" w:type="dxa"/>
            <w:vAlign w:val="bottom"/>
            <w:tcBorders>
              <w:bottom w:val="single" w:sz="8" w:color="FF4400"/>
            </w:tcBorders>
          </w:tcPr>
          <w:p>
            <w:pPr>
              <w:spacing w:after="0"/>
              <w:rPr>
                <w:sz w:val="16"/>
                <w:szCs w:val="16"/>
                <w:color w:val="auto"/>
              </w:rPr>
            </w:pPr>
          </w:p>
        </w:tc>
        <w:tc>
          <w:tcPr>
            <w:tcW w:w="1460" w:type="dxa"/>
            <w:vAlign w:val="bottom"/>
            <w:tcBorders>
              <w:bottom w:val="single" w:sz="8" w:color="FF4400"/>
            </w:tcBorders>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b w:val="1"/>
                <w:bCs w:val="1"/>
                <w:color w:val="auto"/>
              </w:rPr>
              <w:t>Outstanding as of June 29, 2026</w:t>
            </w:r>
            <w:r>
              <w:rPr>
                <w:rFonts w:ascii="Arial" w:cs="Arial" w:eastAsia="Arial" w:hAnsi="Arial"/>
                <w:sz w:val="23"/>
                <w:szCs w:val="23"/>
                <w:b w:val="1"/>
                <w:bCs w:val="1"/>
                <w:color w:val="auto"/>
                <w:vertAlign w:val="superscript"/>
              </w:rPr>
              <w:t>(1)</w:t>
            </w:r>
          </w:p>
        </w:tc>
        <w:tc>
          <w:tcPr>
            <w:tcW w:w="36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b w:val="1"/>
                <w:bCs w:val="1"/>
                <w:color w:val="auto"/>
                <w:w w:val="95"/>
              </w:rPr>
              <w:t>4.1</w:t>
            </w:r>
          </w:p>
        </w:tc>
        <w:tc>
          <w:tcPr>
            <w:tcW w:w="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BFBFBF"/>
            </w:tcBorders>
          </w:tcPr>
          <w:p>
            <w:pPr>
              <w:jc w:val="right"/>
              <w:ind w:right="95"/>
              <w:spacing w:after="0"/>
              <w:rPr>
                <w:sz w:val="20"/>
                <w:szCs w:val="20"/>
                <w:color w:val="auto"/>
              </w:rPr>
            </w:pPr>
            <w:r>
              <w:rPr>
                <w:rFonts w:ascii="Arial" w:cs="Arial" w:eastAsia="Arial" w:hAnsi="Arial"/>
                <w:sz w:val="18"/>
                <w:szCs w:val="18"/>
                <w:b w:val="1"/>
                <w:bCs w:val="1"/>
                <w:color w:val="auto"/>
              </w:rPr>
              <w:t>180.23</w:t>
            </w:r>
          </w:p>
        </w:tc>
        <w:tc>
          <w:tcPr>
            <w:tcW w:w="162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Granted</w:t>
            </w:r>
          </w:p>
        </w:tc>
        <w:tc>
          <w:tcPr>
            <w:tcW w:w="36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w w:val="95"/>
              </w:rPr>
              <w:t>0.1</w:t>
            </w:r>
          </w:p>
        </w:tc>
        <w:tc>
          <w:tcPr>
            <w:tcW w:w="220" w:type="dxa"/>
            <w:vAlign w:val="bottom"/>
            <w:tcBorders>
              <w:bottom w:val="single" w:sz="8" w:color="BFBFBF"/>
            </w:tcBorders>
          </w:tcPr>
          <w:p>
            <w:pPr>
              <w:spacing w:after="0"/>
              <w:rPr>
                <w:sz w:val="19"/>
                <w:szCs w:val="19"/>
                <w:color w:val="auto"/>
              </w:rPr>
            </w:pPr>
          </w:p>
        </w:tc>
        <w:tc>
          <w:tcPr>
            <w:tcW w:w="1520" w:type="dxa"/>
            <w:vAlign w:val="bottom"/>
            <w:tcBorders>
              <w:bottom w:val="single" w:sz="8" w:color="BFBFBF"/>
            </w:tcBorders>
          </w:tcPr>
          <w:p>
            <w:pPr>
              <w:jc w:val="right"/>
              <w:ind w:right="95"/>
              <w:spacing w:after="0"/>
              <w:rPr>
                <w:sz w:val="20"/>
                <w:szCs w:val="20"/>
                <w:color w:val="auto"/>
              </w:rPr>
            </w:pPr>
            <w:r>
              <w:rPr>
                <w:rFonts w:ascii="Arial" w:cs="Arial" w:eastAsia="Arial" w:hAnsi="Arial"/>
                <w:sz w:val="18"/>
                <w:szCs w:val="18"/>
                <w:color w:val="auto"/>
              </w:rPr>
              <w:t>201.12</w:t>
            </w:r>
          </w:p>
        </w:tc>
        <w:tc>
          <w:tcPr>
            <w:tcW w:w="162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Exercised</w:t>
            </w:r>
          </w:p>
        </w:tc>
        <w:tc>
          <w:tcPr>
            <w:tcW w:w="36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1520" w:type="dxa"/>
            <w:vAlign w:val="bottom"/>
            <w:tcBorders>
              <w:bottom w:val="single" w:sz="8" w:color="BFBFBF"/>
            </w:tcBorders>
          </w:tcPr>
          <w:p>
            <w:pPr>
              <w:jc w:val="right"/>
              <w:ind w:right="95"/>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Forfeited</w:t>
            </w:r>
          </w:p>
        </w:tc>
        <w:tc>
          <w:tcPr>
            <w:tcW w:w="36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1520" w:type="dxa"/>
            <w:vAlign w:val="bottom"/>
            <w:tcBorders>
              <w:bottom w:val="single" w:sz="8" w:color="BFBFBF"/>
            </w:tcBorders>
          </w:tcPr>
          <w:p>
            <w:pPr>
              <w:jc w:val="right"/>
              <w:ind w:right="95"/>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Expired</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as of September 26, 2026</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180.86</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16.94</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Exercisable as of September 26, 2026</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165.85</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16.94</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Expected to vest as of September 26, 2026</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177.59</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16.94</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5" w:lineRule="exact"/>
        <w:rPr>
          <w:sz w:val="20"/>
          <w:szCs w:val="20"/>
          <w:color w:val="auto"/>
        </w:rPr>
      </w:pPr>
    </w:p>
    <w:p>
      <w:pPr>
        <w:jc w:val="both"/>
        <w:ind w:left="340" w:hanging="332"/>
        <w:spacing w:after="0" w:line="272" w:lineRule="auto"/>
        <w:tabs>
          <w:tab w:leader="none" w:pos="338" w:val="left"/>
        </w:tabs>
        <w:numPr>
          <w:ilvl w:val="0"/>
          <w:numId w:val="8"/>
        </w:numPr>
        <w:rPr>
          <w:rFonts w:ascii="Arial" w:cs="Arial" w:eastAsia="Arial" w:hAnsi="Arial"/>
          <w:sz w:val="14"/>
          <w:szCs w:val="14"/>
          <w:color w:val="auto"/>
        </w:rPr>
      </w:pPr>
      <w:r>
        <w:rPr>
          <w:rFonts w:ascii="Arial" w:cs="Arial" w:eastAsia="Arial" w:hAnsi="Arial"/>
          <w:sz w:val="14"/>
          <w:szCs w:val="14"/>
          <w:color w:val="auto"/>
        </w:rPr>
        <w:t>On June 29, 2026, the Company began trading as an independent, publicly traded company under the stock symbol “HONA” on the Nasdaq. The options outstanding as of June 29, 2026 pertain to Honeywell equity-based awards issued by Honeywell in prior periods that were converted to Aerospace equity-based awards as part of the Spin-off. The conversion to Aerospace awards was considered a modification of the original award. Incremental fair value recognized was immaterial.</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26, 2026, there was $41 million of total unrecognized compensation cost related to non-vested stock option awards which is expected to be recognized over a weighted average period of 2.6 years.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RSU awards entitle the holder to receive one share of common stock for each unit when the units vest. RSUs are issued to certain key employees and directors as compensation at fair market value at the date of grant. RSUs generally become fully vested over periods ranging from three to six years and are payable in Aerospace common stock upon vesting. Certain RSU awards are performance-based and awarded to eligible employees which entitle the grantee to receive shares of common stock if specified Company performance goals are achieved during the performance period and if the grantee remains employed through the vesting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RSU activity for the three months ended September 26, 2026: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960" w:type="dxa"/>
            <w:vAlign w:val="bottom"/>
          </w:tcPr>
          <w:p>
            <w:pPr>
              <w:jc w:val="center"/>
              <w:ind w:left="1977"/>
              <w:spacing w:after="0"/>
              <w:rPr>
                <w:sz w:val="20"/>
                <w:szCs w:val="20"/>
                <w:color w:val="auto"/>
              </w:rPr>
            </w:pPr>
            <w:r>
              <w:rPr>
                <w:rFonts w:ascii="Arial" w:cs="Arial" w:eastAsia="Arial" w:hAnsi="Arial"/>
                <w:sz w:val="14"/>
                <w:szCs w:val="14"/>
                <w:b w:val="1"/>
                <w:bCs w:val="1"/>
                <w:color w:val="auto"/>
              </w:rPr>
              <w:t>Number of Restricted</w:t>
            </w:r>
          </w:p>
        </w:tc>
        <w:tc>
          <w:tcPr>
            <w:tcW w:w="180" w:type="dxa"/>
            <w:vAlign w:val="bottom"/>
          </w:tcPr>
          <w:p>
            <w:pPr>
              <w:spacing w:after="0"/>
              <w:rPr>
                <w:sz w:val="14"/>
                <w:szCs w:val="14"/>
                <w:color w:val="auto"/>
              </w:rPr>
            </w:pPr>
          </w:p>
        </w:tc>
        <w:tc>
          <w:tcPr>
            <w:tcW w:w="17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Weighted Average Grant</w:t>
            </w:r>
          </w:p>
        </w:tc>
        <w:tc>
          <w:tcPr>
            <w:tcW w:w="0" w:type="dxa"/>
            <w:vAlign w:val="bottom"/>
          </w:tcPr>
          <w:p>
            <w:pPr>
              <w:spacing w:after="0"/>
              <w:rPr>
                <w:sz w:val="1"/>
                <w:szCs w:val="1"/>
                <w:color w:val="auto"/>
              </w:rPr>
            </w:pPr>
          </w:p>
        </w:tc>
      </w:tr>
      <w:tr>
        <w:trPr>
          <w:trHeight w:val="144"/>
        </w:trPr>
        <w:tc>
          <w:tcPr>
            <w:tcW w:w="5320" w:type="dxa"/>
            <w:vAlign w:val="bottom"/>
          </w:tcPr>
          <w:p>
            <w:pPr>
              <w:spacing w:after="0"/>
              <w:rPr>
                <w:sz w:val="12"/>
                <w:szCs w:val="12"/>
                <w:color w:val="auto"/>
              </w:rPr>
            </w:pPr>
          </w:p>
        </w:tc>
        <w:tc>
          <w:tcPr>
            <w:tcW w:w="3960" w:type="dxa"/>
            <w:vAlign w:val="bottom"/>
          </w:tcPr>
          <w:p>
            <w:pPr>
              <w:jc w:val="center"/>
              <w:ind w:left="1957"/>
              <w:spacing w:after="0" w:line="145" w:lineRule="exact"/>
              <w:rPr>
                <w:sz w:val="20"/>
                <w:szCs w:val="20"/>
                <w:color w:val="auto"/>
              </w:rPr>
            </w:pPr>
            <w:r>
              <w:rPr>
                <w:rFonts w:ascii="Arial" w:cs="Arial" w:eastAsia="Arial" w:hAnsi="Arial"/>
                <w:sz w:val="14"/>
                <w:szCs w:val="14"/>
                <w:b w:val="1"/>
                <w:bCs w:val="1"/>
                <w:color w:val="auto"/>
              </w:rPr>
              <w:t>Stock Units</w:t>
            </w:r>
          </w:p>
        </w:tc>
        <w:tc>
          <w:tcPr>
            <w:tcW w:w="1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320" w:type="dxa"/>
            <w:vAlign w:val="bottom"/>
            <w:tcBorders>
              <w:bottom w:val="single" w:sz="8" w:color="FF4400"/>
            </w:tcBorders>
          </w:tcPr>
          <w:p>
            <w:pPr>
              <w:spacing w:after="0"/>
              <w:rPr>
                <w:sz w:val="16"/>
                <w:szCs w:val="16"/>
                <w:color w:val="auto"/>
              </w:rPr>
            </w:pPr>
          </w:p>
        </w:tc>
        <w:tc>
          <w:tcPr>
            <w:tcW w:w="3960" w:type="dxa"/>
            <w:vAlign w:val="bottom"/>
            <w:tcBorders>
              <w:bottom w:val="single" w:sz="8" w:color="FF4400"/>
            </w:tcBorders>
          </w:tcPr>
          <w:p>
            <w:pPr>
              <w:jc w:val="center"/>
              <w:ind w:left="1997"/>
              <w:spacing w:after="0"/>
              <w:rPr>
                <w:sz w:val="20"/>
                <w:szCs w:val="20"/>
                <w:color w:val="auto"/>
              </w:rPr>
            </w:pPr>
            <w:r>
              <w:rPr>
                <w:rFonts w:ascii="Arial" w:cs="Arial" w:eastAsia="Arial" w:hAnsi="Arial"/>
                <w:sz w:val="14"/>
                <w:szCs w:val="14"/>
                <w:b w:val="1"/>
                <w:bCs w:val="1"/>
                <w:color w:val="auto"/>
              </w:rPr>
              <w:t>(in millions)</w:t>
            </w:r>
          </w:p>
        </w:tc>
        <w:tc>
          <w:tcPr>
            <w:tcW w:w="1960" w:type="dxa"/>
            <w:vAlign w:val="bottom"/>
            <w:tcBorders>
              <w:bottom w:val="single" w:sz="8" w:color="FF4400"/>
            </w:tcBorders>
            <w:gridSpan w:val="2"/>
          </w:tcPr>
          <w:p>
            <w:pPr>
              <w:jc w:val="right"/>
              <w:spacing w:after="0"/>
              <w:rPr>
                <w:sz w:val="20"/>
                <w:szCs w:val="20"/>
                <w:color w:val="auto"/>
              </w:rPr>
            </w:pPr>
            <w:r>
              <w:rPr>
                <w:rFonts w:ascii="Arial" w:cs="Arial" w:eastAsia="Arial" w:hAnsi="Arial"/>
                <w:sz w:val="14"/>
                <w:szCs w:val="14"/>
                <w:b w:val="1"/>
                <w:bCs w:val="1"/>
                <w:color w:val="auto"/>
              </w:rPr>
              <w:t>Date Fair Value Per Share</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b w:val="1"/>
                <w:bCs w:val="1"/>
                <w:color w:val="auto"/>
              </w:rPr>
              <w:t>Outstanding at June 29, 2026</w:t>
            </w:r>
            <w:r>
              <w:rPr>
                <w:rFonts w:ascii="Arial" w:cs="Arial" w:eastAsia="Arial" w:hAnsi="Arial"/>
                <w:sz w:val="23"/>
                <w:szCs w:val="23"/>
                <w:b w:val="1"/>
                <w:bCs w:val="1"/>
                <w:color w:val="auto"/>
                <w:vertAlign w:val="superscript"/>
              </w:rPr>
              <w:t>(1)</w:t>
            </w:r>
          </w:p>
        </w:tc>
        <w:tc>
          <w:tcPr>
            <w:tcW w:w="3960" w:type="dxa"/>
            <w:vAlign w:val="bottom"/>
            <w:tcBorders>
              <w:bottom w:val="single" w:sz="8" w:color="BFBFBF"/>
            </w:tcBorders>
          </w:tcPr>
          <w:p>
            <w:pPr>
              <w:jc w:val="right"/>
              <w:ind w:right="37"/>
              <w:spacing w:after="0"/>
              <w:rPr>
                <w:sz w:val="20"/>
                <w:szCs w:val="20"/>
                <w:color w:val="auto"/>
              </w:rPr>
            </w:pPr>
            <w:r>
              <w:rPr>
                <w:rFonts w:ascii="Arial" w:cs="Arial" w:eastAsia="Arial" w:hAnsi="Arial"/>
                <w:sz w:val="18"/>
                <w:szCs w:val="18"/>
                <w:b w:val="1"/>
                <w:bCs w:val="1"/>
                <w:color w:val="auto"/>
              </w:rPr>
              <w:t>1.0</w:t>
            </w:r>
          </w:p>
        </w:tc>
        <w:tc>
          <w:tcPr>
            <w:tcW w:w="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rPr>
              <w:t>244.99</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Granted</w:t>
            </w:r>
          </w:p>
        </w:tc>
        <w:tc>
          <w:tcPr>
            <w:tcW w:w="3960" w:type="dxa"/>
            <w:vAlign w:val="bottom"/>
            <w:tcBorders>
              <w:bottom w:val="single" w:sz="8" w:color="BFBFBF"/>
            </w:tcBorders>
          </w:tcPr>
          <w:p>
            <w:pPr>
              <w:jc w:val="right"/>
              <w:ind w:right="37"/>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202.56</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Vested</w:t>
            </w:r>
          </w:p>
        </w:tc>
        <w:tc>
          <w:tcPr>
            <w:tcW w:w="39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191.78</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384348"/>
            </w:tcBorders>
          </w:tcPr>
          <w:p>
            <w:pPr>
              <w:ind w:left="140"/>
              <w:spacing w:after="0"/>
              <w:rPr>
                <w:sz w:val="20"/>
                <w:szCs w:val="20"/>
                <w:color w:val="auto"/>
              </w:rPr>
            </w:pPr>
            <w:r>
              <w:rPr>
                <w:rFonts w:ascii="Arial" w:cs="Arial" w:eastAsia="Arial" w:hAnsi="Arial"/>
                <w:sz w:val="18"/>
                <w:szCs w:val="18"/>
                <w:color w:val="auto"/>
              </w:rPr>
              <w:t>Forfeited</w:t>
            </w:r>
          </w:p>
        </w:tc>
        <w:tc>
          <w:tcPr>
            <w:tcW w:w="3960" w:type="dxa"/>
            <w:vAlign w:val="bottom"/>
            <w:tcBorders>
              <w:bottom w:val="single" w:sz="8" w:color="384348"/>
            </w:tcBorders>
          </w:tcPr>
          <w:p>
            <w:pPr>
              <w:jc w:val="right"/>
              <w:ind w:right="37"/>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384348"/>
            </w:tcBorders>
          </w:tcPr>
          <w:p>
            <w:pPr>
              <w:spacing w:after="0"/>
              <w:rPr>
                <w:sz w:val="19"/>
                <w:szCs w:val="19"/>
                <w:color w:val="auto"/>
              </w:rPr>
            </w:pPr>
          </w:p>
        </w:tc>
        <w:tc>
          <w:tcPr>
            <w:tcW w:w="1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Outstanding at September 26, 2026</w:t>
            </w:r>
          </w:p>
        </w:tc>
        <w:tc>
          <w:tcPr>
            <w:tcW w:w="3960" w:type="dxa"/>
            <w:vAlign w:val="bottom"/>
            <w:tcBorders>
              <w:bottom w:val="single" w:sz="8" w:color="384348"/>
            </w:tcBorders>
          </w:tcPr>
          <w:p>
            <w:pPr>
              <w:jc w:val="right"/>
              <w:ind w:right="37"/>
              <w:spacing w:after="0"/>
              <w:rPr>
                <w:sz w:val="20"/>
                <w:szCs w:val="20"/>
                <w:color w:val="auto"/>
              </w:rPr>
            </w:pPr>
            <w:r>
              <w:rPr>
                <w:rFonts w:ascii="Arial" w:cs="Arial" w:eastAsia="Arial" w:hAnsi="Arial"/>
                <w:sz w:val="18"/>
                <w:szCs w:val="18"/>
                <w:b w:val="1"/>
                <w:bCs w:val="1"/>
                <w:color w:val="auto"/>
              </w:rPr>
              <w:t>1.3</w:t>
            </w:r>
          </w:p>
        </w:tc>
        <w:tc>
          <w:tcPr>
            <w:tcW w:w="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237.87</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5" w:lineRule="exact"/>
        <w:rPr>
          <w:sz w:val="20"/>
          <w:szCs w:val="20"/>
          <w:color w:val="auto"/>
        </w:rPr>
      </w:pPr>
    </w:p>
    <w:p>
      <w:pPr>
        <w:jc w:val="both"/>
        <w:ind w:left="340" w:hanging="332"/>
        <w:spacing w:after="0" w:line="272" w:lineRule="auto"/>
        <w:tabs>
          <w:tab w:leader="none" w:pos="338" w:val="left"/>
        </w:tabs>
        <w:numPr>
          <w:ilvl w:val="0"/>
          <w:numId w:val="9"/>
        </w:numPr>
        <w:rPr>
          <w:rFonts w:ascii="Arial" w:cs="Arial" w:eastAsia="Arial" w:hAnsi="Arial"/>
          <w:sz w:val="14"/>
          <w:szCs w:val="14"/>
          <w:color w:val="auto"/>
        </w:rPr>
      </w:pPr>
      <w:r>
        <w:rPr>
          <w:rFonts w:ascii="Arial" w:cs="Arial" w:eastAsia="Arial" w:hAnsi="Arial"/>
          <w:sz w:val="14"/>
          <w:szCs w:val="14"/>
          <w:color w:val="auto"/>
        </w:rPr>
        <w:t>On June 29, 2026, the Company began trading as an independent, publicly traded company under the stock symbol “HONA” on the Nasdaq. The RSUs outstanding as of June 29, 2026 pertain to Honeywell equity-based awards issued by Honeywell in prior periods that were converted to Aerospace equity-based awards as part of the Spin-off. The conversion to Aerospace awards was considered a modification of the original award. Incremental fair value recognized was immaterial.</w:t>
      </w:r>
    </w:p>
    <w:p>
      <w:pPr>
        <w:spacing w:after="0" w:line="19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As of September 26, 2026, there was approximately $109 million of total unrecognized compensation cost related to non-vested RSUs granted under the Company's stock plan which is expected to be recognized over a weighted average period of 2.4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w:t>
      </w:r>
    </w:p>
    <w:p>
      <w:pPr>
        <w:spacing w:after="0" w:line="17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On the Distribution Date, 316.9 million shares of the Company’s common stock were distributed to Honeywell shareholders as of the Record Date. This amount is utilized for the calculation of both basic and diluted earnings per share for all periods presented prior to the Distribution as there was no dilutive effect from equity securities as the Company had no stock-based compensation awards outstanding prior to the Distribution.</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details of the earnings per share calculations for the three and nine months ended September 26, 2026 and September 27, 2025 are as follows (shares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440" w:type="dxa"/>
            <w:vAlign w:val="bottom"/>
            <w:tcBorders>
              <w:bottom w:val="single" w:sz="8" w:color="FF4400"/>
            </w:tcBorders>
          </w:tcPr>
          <w:p>
            <w:pPr>
              <w:spacing w:after="0"/>
              <w:rPr>
                <w:sz w:val="17"/>
                <w:szCs w:val="17"/>
                <w:color w:val="auto"/>
              </w:rPr>
            </w:pPr>
          </w:p>
        </w:tc>
        <w:tc>
          <w:tcPr>
            <w:tcW w:w="1880" w:type="dxa"/>
            <w:vAlign w:val="bottom"/>
            <w:tcBorders>
              <w:bottom w:val="single" w:sz="8" w:color="FF4400"/>
            </w:tcBorders>
            <w:gridSpan w:val="2"/>
          </w:tcPr>
          <w:p>
            <w:pPr>
              <w:jc w:val="right"/>
              <w:ind w:right="34"/>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FF4400"/>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FF4400"/>
            </w:tcBorders>
          </w:tcPr>
          <w:p>
            <w:pPr>
              <w:spacing w:after="0"/>
              <w:rPr>
                <w:sz w:val="17"/>
                <w:szCs w:val="17"/>
                <w:color w:val="auto"/>
              </w:rPr>
            </w:pPr>
          </w:p>
        </w:tc>
        <w:tc>
          <w:tcPr>
            <w:tcW w:w="1840" w:type="dxa"/>
            <w:vAlign w:val="bottom"/>
            <w:tcBorders>
              <w:bottom w:val="single" w:sz="8" w:color="FF4400"/>
            </w:tcBorders>
            <w:gridSpan w:val="2"/>
          </w:tcPr>
          <w:p>
            <w:pPr>
              <w:jc w:val="right"/>
              <w:ind w:right="54"/>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Borders>
              <w:bottom w:val="single" w:sz="8" w:color="FF4400"/>
            </w:tcBorders>
          </w:tcPr>
          <w:p>
            <w:pPr>
              <w:spacing w:after="0"/>
              <w:rPr>
                <w:sz w:val="17"/>
                <w:szCs w:val="17"/>
                <w:color w:val="auto"/>
              </w:rPr>
            </w:pPr>
          </w:p>
        </w:tc>
      </w:tr>
      <w:tr>
        <w:trPr>
          <w:trHeight w:val="401"/>
        </w:trPr>
        <w:tc>
          <w:tcPr>
            <w:tcW w:w="5180" w:type="dxa"/>
            <w:vAlign w:val="bottom"/>
            <w:tcBorders>
              <w:bottom w:val="single" w:sz="8" w:color="FF4400"/>
            </w:tcBorders>
          </w:tcPr>
          <w:p>
            <w:pPr>
              <w:ind w:left="20"/>
              <w:spacing w:after="0"/>
              <w:rPr>
                <w:sz w:val="20"/>
                <w:szCs w:val="20"/>
                <w:color w:val="auto"/>
              </w:rPr>
            </w:pPr>
            <w:r>
              <w:rPr>
                <w:rFonts w:ascii="Arial" w:cs="Arial" w:eastAsia="Arial" w:hAnsi="Arial"/>
                <w:sz w:val="18"/>
                <w:szCs w:val="18"/>
                <w:b w:val="1"/>
                <w:bCs w:val="1"/>
                <w:color w:val="auto"/>
              </w:rPr>
              <w:t>Basic</w:t>
            </w:r>
          </w:p>
        </w:tc>
        <w:tc>
          <w:tcPr>
            <w:tcW w:w="1480" w:type="dxa"/>
            <w:vAlign w:val="bottom"/>
            <w:tcBorders>
              <w:bottom w:val="single" w:sz="8" w:color="FF4400"/>
            </w:tcBorders>
            <w:gridSpan w:val="2"/>
          </w:tcPr>
          <w:p>
            <w:pPr>
              <w:jc w:val="right"/>
              <w:spacing w:after="0"/>
              <w:rPr>
                <w:sz w:val="20"/>
                <w:szCs w:val="20"/>
                <w:color w:val="auto"/>
              </w:rPr>
            </w:pPr>
            <w:r>
              <w:rPr>
                <w:rFonts w:ascii="Arial" w:cs="Arial" w:eastAsia="Arial" w:hAnsi="Arial"/>
                <w:sz w:val="14"/>
                <w:szCs w:val="14"/>
                <w:b w:val="1"/>
                <w:bCs w:val="1"/>
                <w:color w:val="auto"/>
              </w:rPr>
              <w:t>September 26, 2026</w:t>
            </w:r>
          </w:p>
        </w:tc>
        <w:tc>
          <w:tcPr>
            <w:tcW w:w="1600" w:type="dxa"/>
            <w:vAlign w:val="bottom"/>
            <w:tcBorders>
              <w:bottom w:val="single" w:sz="8" w:color="FF4400"/>
            </w:tcBorders>
            <w:gridSpan w:val="3"/>
          </w:tcPr>
          <w:p>
            <w:pPr>
              <w:ind w:left="100"/>
              <w:spacing w:after="0"/>
              <w:rPr>
                <w:sz w:val="20"/>
                <w:szCs w:val="20"/>
                <w:color w:val="auto"/>
              </w:rPr>
            </w:pPr>
            <w:r>
              <w:rPr>
                <w:rFonts w:ascii="Arial" w:cs="Arial" w:eastAsia="Arial" w:hAnsi="Arial"/>
                <w:sz w:val="14"/>
                <w:szCs w:val="14"/>
                <w:b w:val="1"/>
                <w:bCs w:val="1"/>
                <w:color w:val="auto"/>
              </w:rPr>
              <w:t>September 27, 2025</w:t>
            </w:r>
          </w:p>
        </w:tc>
        <w:tc>
          <w:tcPr>
            <w:tcW w:w="1480" w:type="dxa"/>
            <w:vAlign w:val="bottom"/>
            <w:tcBorders>
              <w:bottom w:val="single" w:sz="8" w:color="FF4400"/>
            </w:tcBorders>
            <w:gridSpan w:val="2"/>
          </w:tcPr>
          <w:p>
            <w:pPr>
              <w:jc w:val="right"/>
              <w:spacing w:after="0"/>
              <w:rPr>
                <w:sz w:val="20"/>
                <w:szCs w:val="20"/>
                <w:color w:val="auto"/>
              </w:rPr>
            </w:pPr>
            <w:r>
              <w:rPr>
                <w:rFonts w:ascii="Arial" w:cs="Arial" w:eastAsia="Arial" w:hAnsi="Arial"/>
                <w:sz w:val="14"/>
                <w:szCs w:val="14"/>
                <w:b w:val="1"/>
                <w:bCs w:val="1"/>
                <w:color w:val="auto"/>
              </w:rPr>
              <w:t>September 26, 2026</w:t>
            </w:r>
          </w:p>
        </w:tc>
        <w:tc>
          <w:tcPr>
            <w:tcW w:w="1500" w:type="dxa"/>
            <w:vAlign w:val="bottom"/>
            <w:tcBorders>
              <w:bottom w:val="single" w:sz="8" w:color="FF4400"/>
            </w:tcBorders>
            <w:gridSpan w:val="2"/>
          </w:tcPr>
          <w:p>
            <w:pPr>
              <w:jc w:val="right"/>
              <w:spacing w:after="0"/>
              <w:rPr>
                <w:sz w:val="20"/>
                <w:szCs w:val="20"/>
                <w:color w:val="auto"/>
              </w:rPr>
            </w:pPr>
            <w:r>
              <w:rPr>
                <w:rFonts w:ascii="Arial" w:cs="Arial" w:eastAsia="Arial" w:hAnsi="Arial"/>
                <w:sz w:val="14"/>
                <w:szCs w:val="14"/>
                <w:b w:val="1"/>
                <w:bCs w:val="1"/>
                <w:color w:val="auto"/>
              </w:rPr>
              <w:t>September 27, 2025</w:t>
            </w:r>
          </w:p>
        </w:tc>
      </w:tr>
      <w:tr>
        <w:trPr>
          <w:trHeight w:val="223"/>
        </w:trPr>
        <w:tc>
          <w:tcPr>
            <w:tcW w:w="51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income attributable to Aerospace</w:t>
            </w:r>
          </w:p>
        </w:tc>
        <w:tc>
          <w:tcPr>
            <w:tcW w:w="440" w:type="dxa"/>
            <w:vAlign w:val="bottom"/>
            <w:tcBorders>
              <w:bottom w:val="single" w:sz="8" w:color="BFBFBF"/>
            </w:tcBorders>
          </w:tcPr>
          <w:p>
            <w:pPr>
              <w:jc w:val="right"/>
              <w:ind w:right="23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726</w:t>
            </w:r>
          </w:p>
        </w:tc>
        <w:tc>
          <w:tcPr>
            <w:tcW w:w="840" w:type="dxa"/>
            <w:vAlign w:val="bottom"/>
            <w:tcBorders>
              <w:bottom w:val="single" w:sz="8" w:color="BFBFBF"/>
            </w:tcBorders>
          </w:tcPr>
          <w:p>
            <w:pPr>
              <w:jc w:val="right"/>
              <w:ind w:right="57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BFBFBF"/>
            </w:tcBorders>
          </w:tcPr>
          <w:p>
            <w:pPr>
              <w:spacing w:after="0"/>
              <w:rPr>
                <w:sz w:val="19"/>
                <w:szCs w:val="19"/>
                <w:color w:val="auto"/>
              </w:rPr>
            </w:pPr>
          </w:p>
        </w:tc>
        <w:tc>
          <w:tcPr>
            <w:tcW w:w="460" w:type="dxa"/>
            <w:vAlign w:val="bottom"/>
            <w:tcBorders>
              <w:bottom w:val="single" w:sz="8" w:color="BFBFBF"/>
            </w:tcBorders>
          </w:tcPr>
          <w:p>
            <w:pPr>
              <w:jc w:val="right"/>
              <w:ind w:right="254"/>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1,606</w:t>
            </w:r>
          </w:p>
        </w:tc>
        <w:tc>
          <w:tcPr>
            <w:tcW w:w="820" w:type="dxa"/>
            <w:vAlign w:val="bottom"/>
            <w:tcBorders>
              <w:bottom w:val="single" w:sz="8" w:color="BFBFBF"/>
            </w:tcBorders>
          </w:tcPr>
          <w:p>
            <w:pPr>
              <w:jc w:val="right"/>
              <w:ind w:right="55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2,265</w:t>
            </w:r>
          </w:p>
        </w:tc>
      </w:tr>
      <w:tr>
        <w:trPr>
          <w:trHeight w:val="223"/>
        </w:trPr>
        <w:tc>
          <w:tcPr>
            <w:tcW w:w="518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Weighted average shares outstanding</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color w:val="auto"/>
              </w:rPr>
              <w:t>317.0</w:t>
            </w:r>
          </w:p>
        </w:tc>
        <w:tc>
          <w:tcPr>
            <w:tcW w:w="840" w:type="dxa"/>
            <w:vAlign w:val="bottom"/>
            <w:tcBorders>
              <w:bottom w:val="single" w:sz="8" w:color="384348"/>
            </w:tcBorders>
          </w:tcPr>
          <w:p>
            <w:pPr>
              <w:spacing w:after="0"/>
              <w:rPr>
                <w:sz w:val="19"/>
                <w:szCs w:val="19"/>
                <w:color w:val="auto"/>
              </w:rPr>
            </w:pP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316.9</w:t>
            </w:r>
          </w:p>
        </w:tc>
        <w:tc>
          <w:tcPr>
            <w:tcW w:w="100" w:type="dxa"/>
            <w:vAlign w:val="bottom"/>
            <w:tcBorders>
              <w:bottom w:val="single" w:sz="8" w:color="384348"/>
            </w:tcBorders>
          </w:tcPr>
          <w:p>
            <w:pPr>
              <w:spacing w:after="0"/>
              <w:rPr>
                <w:sz w:val="19"/>
                <w:szCs w:val="19"/>
                <w:color w:val="auto"/>
              </w:rPr>
            </w:pPr>
          </w:p>
        </w:tc>
        <w:tc>
          <w:tcPr>
            <w:tcW w:w="460" w:type="dxa"/>
            <w:vAlign w:val="bottom"/>
            <w:tcBorders>
              <w:bottom w:val="single" w:sz="8" w:color="384348"/>
            </w:tcBorders>
          </w:tcPr>
          <w:p>
            <w:pPr>
              <w:spacing w:after="0"/>
              <w:rPr>
                <w:sz w:val="19"/>
                <w:szCs w:val="19"/>
                <w:color w:val="auto"/>
              </w:rPr>
            </w:pPr>
          </w:p>
        </w:tc>
        <w:tc>
          <w:tcPr>
            <w:tcW w:w="10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color w:val="auto"/>
              </w:rPr>
              <w:t>317.0</w:t>
            </w:r>
          </w:p>
        </w:tc>
        <w:tc>
          <w:tcPr>
            <w:tcW w:w="820" w:type="dxa"/>
            <w:vAlign w:val="bottom"/>
            <w:tcBorders>
              <w:bottom w:val="single" w:sz="8" w:color="384348"/>
            </w:tcBorders>
          </w:tcPr>
          <w:p>
            <w:pPr>
              <w:spacing w:after="0"/>
              <w:rPr>
                <w:sz w:val="19"/>
                <w:szCs w:val="19"/>
                <w:color w:val="auto"/>
              </w:rPr>
            </w:pPr>
          </w:p>
        </w:tc>
        <w:tc>
          <w:tcPr>
            <w:tcW w:w="6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316.9</w:t>
            </w:r>
          </w:p>
        </w:tc>
      </w:tr>
      <w:tr>
        <w:trPr>
          <w:trHeight w:val="223"/>
        </w:trPr>
        <w:tc>
          <w:tcPr>
            <w:tcW w:w="518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Earnings per share of common stock—basic</w:t>
            </w:r>
          </w:p>
        </w:tc>
        <w:tc>
          <w:tcPr>
            <w:tcW w:w="440" w:type="dxa"/>
            <w:vAlign w:val="bottom"/>
            <w:tcBorders>
              <w:bottom w:val="single" w:sz="8" w:color="384348"/>
            </w:tcBorders>
          </w:tcPr>
          <w:p>
            <w:pPr>
              <w:jc w:val="right"/>
              <w:ind w:right="234"/>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2.29</w:t>
            </w:r>
          </w:p>
        </w:tc>
        <w:tc>
          <w:tcPr>
            <w:tcW w:w="840" w:type="dxa"/>
            <w:vAlign w:val="bottom"/>
            <w:tcBorders>
              <w:bottom w:val="single" w:sz="8" w:color="384348"/>
            </w:tcBorders>
          </w:tcPr>
          <w:p>
            <w:pPr>
              <w:jc w:val="right"/>
              <w:ind w:right="574"/>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tcBorders>
              <w:bottom w:val="single" w:sz="8" w:color="384348"/>
            </w:tcBorders>
          </w:tcPr>
          <w:p>
            <w:pPr>
              <w:spacing w:after="0"/>
              <w:rPr>
                <w:sz w:val="19"/>
                <w:szCs w:val="19"/>
                <w:color w:val="auto"/>
              </w:rPr>
            </w:pPr>
          </w:p>
        </w:tc>
        <w:tc>
          <w:tcPr>
            <w:tcW w:w="460" w:type="dxa"/>
            <w:vAlign w:val="bottom"/>
            <w:tcBorders>
              <w:bottom w:val="single" w:sz="8" w:color="384348"/>
            </w:tcBorders>
          </w:tcPr>
          <w:p>
            <w:pPr>
              <w:jc w:val="right"/>
              <w:ind w:right="254"/>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5.07</w:t>
            </w:r>
          </w:p>
        </w:tc>
        <w:tc>
          <w:tcPr>
            <w:tcW w:w="820" w:type="dxa"/>
            <w:vAlign w:val="bottom"/>
            <w:tcBorders>
              <w:bottom w:val="single" w:sz="8" w:color="384348"/>
            </w:tcBorders>
          </w:tcPr>
          <w:p>
            <w:pPr>
              <w:jc w:val="right"/>
              <w:ind w:right="554"/>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7.15</w:t>
            </w:r>
          </w:p>
        </w:tc>
      </w:tr>
      <w:tr>
        <w:trPr>
          <w:trHeight w:val="223"/>
        </w:trPr>
        <w:tc>
          <w:tcPr>
            <w:tcW w:w="5180" w:type="dxa"/>
            <w:vAlign w:val="bottom"/>
            <w:tcBorders>
              <w:bottom w:val="single" w:sz="8" w:color="FF4400"/>
            </w:tcBorders>
          </w:tcPr>
          <w:p>
            <w:pPr>
              <w:ind w:left="20"/>
              <w:spacing w:after="0"/>
              <w:rPr>
                <w:sz w:val="20"/>
                <w:szCs w:val="20"/>
                <w:color w:val="auto"/>
              </w:rPr>
            </w:pPr>
            <w:r>
              <w:rPr>
                <w:rFonts w:ascii="Arial" w:cs="Arial" w:eastAsia="Arial" w:hAnsi="Arial"/>
                <w:sz w:val="18"/>
                <w:szCs w:val="18"/>
                <w:b w:val="1"/>
                <w:bCs w:val="1"/>
                <w:color w:val="auto"/>
              </w:rPr>
              <w:t>Diluted</w:t>
            </w:r>
          </w:p>
        </w:tc>
        <w:tc>
          <w:tcPr>
            <w:tcW w:w="440" w:type="dxa"/>
            <w:vAlign w:val="bottom"/>
            <w:tcBorders>
              <w:bottom w:val="single" w:sz="8" w:color="FF4400"/>
            </w:tcBorders>
          </w:tcPr>
          <w:p>
            <w:pPr>
              <w:spacing w:after="0"/>
              <w:rPr>
                <w:sz w:val="19"/>
                <w:szCs w:val="19"/>
                <w:color w:val="auto"/>
              </w:rPr>
            </w:pPr>
          </w:p>
        </w:tc>
        <w:tc>
          <w:tcPr>
            <w:tcW w:w="1040" w:type="dxa"/>
            <w:vAlign w:val="bottom"/>
            <w:tcBorders>
              <w:bottom w:val="single" w:sz="8" w:color="FF4400"/>
            </w:tcBorders>
          </w:tcPr>
          <w:p>
            <w:pPr>
              <w:spacing w:after="0"/>
              <w:rPr>
                <w:sz w:val="19"/>
                <w:szCs w:val="19"/>
                <w:color w:val="auto"/>
              </w:rPr>
            </w:pPr>
          </w:p>
        </w:tc>
        <w:tc>
          <w:tcPr>
            <w:tcW w:w="840" w:type="dxa"/>
            <w:vAlign w:val="bottom"/>
            <w:tcBorders>
              <w:bottom w:val="single" w:sz="8" w:color="FF4400"/>
            </w:tcBorders>
          </w:tcPr>
          <w:p>
            <w:pPr>
              <w:spacing w:after="0"/>
              <w:rPr>
                <w:sz w:val="19"/>
                <w:szCs w:val="19"/>
                <w:color w:val="auto"/>
              </w:rPr>
            </w:pPr>
          </w:p>
        </w:tc>
        <w:tc>
          <w:tcPr>
            <w:tcW w:w="660" w:type="dxa"/>
            <w:vAlign w:val="bottom"/>
            <w:tcBorders>
              <w:bottom w:val="single" w:sz="8" w:color="FF4400"/>
            </w:tcBorders>
          </w:tcPr>
          <w:p>
            <w:pPr>
              <w:spacing w:after="0"/>
              <w:rPr>
                <w:sz w:val="19"/>
                <w:szCs w:val="19"/>
                <w:color w:val="auto"/>
              </w:rPr>
            </w:pPr>
          </w:p>
        </w:tc>
        <w:tc>
          <w:tcPr>
            <w:tcW w:w="100" w:type="dxa"/>
            <w:vAlign w:val="bottom"/>
            <w:tcBorders>
              <w:bottom w:val="single" w:sz="8" w:color="FF4400"/>
            </w:tcBorders>
          </w:tcPr>
          <w:p>
            <w:pPr>
              <w:spacing w:after="0"/>
              <w:rPr>
                <w:sz w:val="19"/>
                <w:szCs w:val="19"/>
                <w:color w:val="auto"/>
              </w:rPr>
            </w:pPr>
          </w:p>
        </w:tc>
        <w:tc>
          <w:tcPr>
            <w:tcW w:w="460" w:type="dxa"/>
            <w:vAlign w:val="bottom"/>
            <w:tcBorders>
              <w:bottom w:val="single" w:sz="8" w:color="FF4400"/>
            </w:tcBorders>
          </w:tcPr>
          <w:p>
            <w:pPr>
              <w:spacing w:after="0"/>
              <w:rPr>
                <w:sz w:val="19"/>
                <w:szCs w:val="19"/>
                <w:color w:val="auto"/>
              </w:rPr>
            </w:pPr>
          </w:p>
        </w:tc>
        <w:tc>
          <w:tcPr>
            <w:tcW w:w="1020" w:type="dxa"/>
            <w:vAlign w:val="bottom"/>
            <w:tcBorders>
              <w:bottom w:val="single" w:sz="8" w:color="FF4400"/>
            </w:tcBorders>
          </w:tcPr>
          <w:p>
            <w:pPr>
              <w:spacing w:after="0"/>
              <w:rPr>
                <w:sz w:val="19"/>
                <w:szCs w:val="19"/>
                <w:color w:val="auto"/>
              </w:rPr>
            </w:pPr>
          </w:p>
        </w:tc>
        <w:tc>
          <w:tcPr>
            <w:tcW w:w="820" w:type="dxa"/>
            <w:vAlign w:val="bottom"/>
            <w:tcBorders>
              <w:bottom w:val="single" w:sz="8" w:color="FF4400"/>
            </w:tcBorders>
          </w:tcPr>
          <w:p>
            <w:pPr>
              <w:spacing w:after="0"/>
              <w:rPr>
                <w:sz w:val="19"/>
                <w:szCs w:val="19"/>
                <w:color w:val="auto"/>
              </w:rPr>
            </w:pPr>
          </w:p>
        </w:tc>
        <w:tc>
          <w:tcPr>
            <w:tcW w:w="680" w:type="dxa"/>
            <w:vAlign w:val="bottom"/>
            <w:tcBorders>
              <w:bottom w:val="single" w:sz="8" w:color="FF4400"/>
            </w:tcBorders>
          </w:tcPr>
          <w:p>
            <w:pPr>
              <w:spacing w:after="0"/>
              <w:rPr>
                <w:sz w:val="19"/>
                <w:szCs w:val="19"/>
                <w:color w:val="auto"/>
              </w:rPr>
            </w:pPr>
          </w:p>
        </w:tc>
      </w:tr>
      <w:tr>
        <w:trPr>
          <w:trHeight w:val="223"/>
        </w:trPr>
        <w:tc>
          <w:tcPr>
            <w:tcW w:w="51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income attributable to Aerospace</w:t>
            </w:r>
          </w:p>
        </w:tc>
        <w:tc>
          <w:tcPr>
            <w:tcW w:w="440" w:type="dxa"/>
            <w:vAlign w:val="bottom"/>
            <w:tcBorders>
              <w:bottom w:val="single" w:sz="8" w:color="BFBFBF"/>
            </w:tcBorders>
          </w:tcPr>
          <w:p>
            <w:pPr>
              <w:jc w:val="right"/>
              <w:ind w:right="23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726</w:t>
            </w:r>
          </w:p>
        </w:tc>
        <w:tc>
          <w:tcPr>
            <w:tcW w:w="840" w:type="dxa"/>
            <w:vAlign w:val="bottom"/>
            <w:tcBorders>
              <w:bottom w:val="single" w:sz="8" w:color="BFBFBF"/>
            </w:tcBorders>
          </w:tcPr>
          <w:p>
            <w:pPr>
              <w:jc w:val="right"/>
              <w:ind w:right="57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BFBFBF"/>
            </w:tcBorders>
          </w:tcPr>
          <w:p>
            <w:pPr>
              <w:spacing w:after="0"/>
              <w:rPr>
                <w:sz w:val="19"/>
                <w:szCs w:val="19"/>
                <w:color w:val="auto"/>
              </w:rPr>
            </w:pPr>
          </w:p>
        </w:tc>
        <w:tc>
          <w:tcPr>
            <w:tcW w:w="460" w:type="dxa"/>
            <w:vAlign w:val="bottom"/>
            <w:tcBorders>
              <w:bottom w:val="single" w:sz="8" w:color="BFBFBF"/>
            </w:tcBorders>
          </w:tcPr>
          <w:p>
            <w:pPr>
              <w:jc w:val="right"/>
              <w:ind w:right="254"/>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1,606</w:t>
            </w:r>
          </w:p>
        </w:tc>
        <w:tc>
          <w:tcPr>
            <w:tcW w:w="820" w:type="dxa"/>
            <w:vAlign w:val="bottom"/>
            <w:tcBorders>
              <w:bottom w:val="single" w:sz="8" w:color="BFBFBF"/>
            </w:tcBorders>
          </w:tcPr>
          <w:p>
            <w:pPr>
              <w:jc w:val="right"/>
              <w:ind w:right="55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2,265</w:t>
            </w:r>
          </w:p>
        </w:tc>
      </w:tr>
      <w:tr>
        <w:trPr>
          <w:trHeight w:val="223"/>
        </w:trPr>
        <w:tc>
          <w:tcPr>
            <w:tcW w:w="51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Average shares:</w:t>
            </w:r>
          </w:p>
        </w:tc>
        <w:tc>
          <w:tcPr>
            <w:tcW w:w="44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spacing w:after="0"/>
              <w:rPr>
                <w:sz w:val="19"/>
                <w:szCs w:val="19"/>
                <w:color w:val="auto"/>
              </w:rPr>
            </w:pPr>
          </w:p>
        </w:tc>
        <w:tc>
          <w:tcPr>
            <w:tcW w:w="840" w:type="dxa"/>
            <w:vAlign w:val="bottom"/>
            <w:tcBorders>
              <w:bottom w:val="single" w:sz="8" w:color="BFBFBF"/>
            </w:tcBorders>
          </w:tcPr>
          <w:p>
            <w:pPr>
              <w:spacing w:after="0"/>
              <w:rPr>
                <w:sz w:val="19"/>
                <w:szCs w:val="19"/>
                <w:color w:val="auto"/>
              </w:rPr>
            </w:pPr>
          </w:p>
        </w:tc>
        <w:tc>
          <w:tcPr>
            <w:tcW w:w="660" w:type="dxa"/>
            <w:vAlign w:val="bottom"/>
            <w:tcBorders>
              <w:bottom w:val="single" w:sz="8" w:color="BFBFBF"/>
            </w:tcBorders>
          </w:tcPr>
          <w:p>
            <w:pPr>
              <w:spacing w:after="0"/>
              <w:rPr>
                <w:sz w:val="19"/>
                <w:szCs w:val="19"/>
                <w:color w:val="auto"/>
              </w:rPr>
            </w:pPr>
          </w:p>
        </w:tc>
        <w:tc>
          <w:tcPr>
            <w:tcW w:w="100" w:type="dxa"/>
            <w:vAlign w:val="bottom"/>
            <w:tcBorders>
              <w:bottom w:val="single" w:sz="8" w:color="BFBFBF"/>
            </w:tcBorders>
          </w:tcPr>
          <w:p>
            <w:pPr>
              <w:spacing w:after="0"/>
              <w:rPr>
                <w:sz w:val="19"/>
                <w:szCs w:val="19"/>
                <w:color w:val="auto"/>
              </w:rPr>
            </w:pPr>
          </w:p>
        </w:tc>
        <w:tc>
          <w:tcPr>
            <w:tcW w:w="460" w:type="dxa"/>
            <w:vAlign w:val="bottom"/>
            <w:tcBorders>
              <w:bottom w:val="single" w:sz="8" w:color="BFBFBF"/>
            </w:tcBorders>
          </w:tcPr>
          <w:p>
            <w:pPr>
              <w:spacing w:after="0"/>
              <w:rPr>
                <w:sz w:val="19"/>
                <w:szCs w:val="19"/>
                <w:color w:val="auto"/>
              </w:rPr>
            </w:pPr>
          </w:p>
        </w:tc>
        <w:tc>
          <w:tcPr>
            <w:tcW w:w="1020" w:type="dxa"/>
            <w:vAlign w:val="bottom"/>
            <w:tcBorders>
              <w:bottom w:val="single" w:sz="8" w:color="BFBFBF"/>
            </w:tcBorders>
          </w:tcPr>
          <w:p>
            <w:pPr>
              <w:spacing w:after="0"/>
              <w:rPr>
                <w:sz w:val="19"/>
                <w:szCs w:val="19"/>
                <w:color w:val="auto"/>
              </w:rPr>
            </w:pPr>
          </w:p>
        </w:tc>
        <w:tc>
          <w:tcPr>
            <w:tcW w:w="820" w:type="dxa"/>
            <w:vAlign w:val="bottom"/>
            <w:tcBorders>
              <w:bottom w:val="single" w:sz="8" w:color="BFBFBF"/>
            </w:tcBorders>
          </w:tcPr>
          <w:p>
            <w:pPr>
              <w:spacing w:after="0"/>
              <w:rPr>
                <w:sz w:val="19"/>
                <w:szCs w:val="19"/>
                <w:color w:val="auto"/>
              </w:rPr>
            </w:pPr>
          </w:p>
        </w:tc>
        <w:tc>
          <w:tcPr>
            <w:tcW w:w="680" w:type="dxa"/>
            <w:vAlign w:val="bottom"/>
            <w:tcBorders>
              <w:bottom w:val="single" w:sz="8" w:color="BFBFBF"/>
            </w:tcBorders>
          </w:tcPr>
          <w:p>
            <w:pPr>
              <w:spacing w:after="0"/>
              <w:rPr>
                <w:sz w:val="19"/>
                <w:szCs w:val="19"/>
                <w:color w:val="auto"/>
              </w:rPr>
            </w:pPr>
          </w:p>
        </w:tc>
      </w:tr>
      <w:tr>
        <w:trPr>
          <w:trHeight w:val="223"/>
        </w:trPr>
        <w:tc>
          <w:tcPr>
            <w:tcW w:w="518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Weighted average shares outstanding</w:t>
            </w:r>
          </w:p>
        </w:tc>
        <w:tc>
          <w:tcPr>
            <w:tcW w:w="44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317.0</w:t>
            </w:r>
          </w:p>
        </w:tc>
        <w:tc>
          <w:tcPr>
            <w:tcW w:w="840" w:type="dxa"/>
            <w:vAlign w:val="bottom"/>
            <w:tcBorders>
              <w:bottom w:val="single" w:sz="8" w:color="BFBFBF"/>
            </w:tcBorders>
          </w:tcPr>
          <w:p>
            <w:pPr>
              <w:spacing w:after="0"/>
              <w:rPr>
                <w:sz w:val="19"/>
                <w:szCs w:val="19"/>
                <w:color w:val="auto"/>
              </w:rPr>
            </w:pPr>
          </w:p>
        </w:tc>
        <w:tc>
          <w:tcPr>
            <w:tcW w:w="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316.9</w:t>
            </w:r>
          </w:p>
        </w:tc>
        <w:tc>
          <w:tcPr>
            <w:tcW w:w="100" w:type="dxa"/>
            <w:vAlign w:val="bottom"/>
            <w:tcBorders>
              <w:bottom w:val="single" w:sz="8" w:color="BFBFBF"/>
            </w:tcBorders>
          </w:tcPr>
          <w:p>
            <w:pPr>
              <w:spacing w:after="0"/>
              <w:rPr>
                <w:sz w:val="19"/>
                <w:szCs w:val="19"/>
                <w:color w:val="auto"/>
              </w:rPr>
            </w:pPr>
          </w:p>
        </w:tc>
        <w:tc>
          <w:tcPr>
            <w:tcW w:w="460" w:type="dxa"/>
            <w:vAlign w:val="bottom"/>
            <w:tcBorders>
              <w:bottom w:val="single" w:sz="8" w:color="BFBFBF"/>
            </w:tcBorders>
          </w:tcPr>
          <w:p>
            <w:pPr>
              <w:spacing w:after="0"/>
              <w:rPr>
                <w:sz w:val="19"/>
                <w:szCs w:val="19"/>
                <w:color w:val="auto"/>
              </w:rPr>
            </w:pPr>
          </w:p>
        </w:tc>
        <w:tc>
          <w:tcPr>
            <w:tcW w:w="10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317.0</w:t>
            </w:r>
          </w:p>
        </w:tc>
        <w:tc>
          <w:tcPr>
            <w:tcW w:w="820" w:type="dxa"/>
            <w:vAlign w:val="bottom"/>
            <w:tcBorders>
              <w:bottom w:val="single" w:sz="8" w:color="BFBFBF"/>
            </w:tcBorders>
          </w:tcPr>
          <w:p>
            <w:pPr>
              <w:spacing w:after="0"/>
              <w:rPr>
                <w:sz w:val="19"/>
                <w:szCs w:val="19"/>
                <w:color w:val="auto"/>
              </w:rPr>
            </w:pPr>
          </w:p>
        </w:tc>
        <w:tc>
          <w:tcPr>
            <w:tcW w:w="6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316.9</w:t>
            </w:r>
          </w:p>
        </w:tc>
      </w:tr>
      <w:tr>
        <w:trPr>
          <w:trHeight w:val="223"/>
        </w:trPr>
        <w:tc>
          <w:tcPr>
            <w:tcW w:w="518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Dilutive securities issuable—stock plans</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color w:val="auto"/>
              </w:rPr>
              <w:t>0.7</w:t>
            </w:r>
          </w:p>
        </w:tc>
        <w:tc>
          <w:tcPr>
            <w:tcW w:w="840" w:type="dxa"/>
            <w:vAlign w:val="bottom"/>
            <w:tcBorders>
              <w:bottom w:val="single" w:sz="8" w:color="384348"/>
            </w:tcBorders>
          </w:tcPr>
          <w:p>
            <w:pPr>
              <w:spacing w:after="0"/>
              <w:rPr>
                <w:sz w:val="19"/>
                <w:szCs w:val="19"/>
                <w:color w:val="auto"/>
              </w:rPr>
            </w:pPr>
          </w:p>
        </w:tc>
        <w:tc>
          <w:tcPr>
            <w:tcW w:w="760" w:type="dxa"/>
            <w:vAlign w:val="bottom"/>
            <w:tcBorders>
              <w:bottom w:val="single" w:sz="8" w:color="384348"/>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384348"/>
            </w:tcBorders>
          </w:tcPr>
          <w:p>
            <w:pPr>
              <w:spacing w:after="0"/>
              <w:rPr>
                <w:sz w:val="19"/>
                <w:szCs w:val="19"/>
                <w:color w:val="auto"/>
              </w:rPr>
            </w:pPr>
          </w:p>
        </w:tc>
        <w:tc>
          <w:tcPr>
            <w:tcW w:w="10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color w:val="auto"/>
              </w:rPr>
              <w:t>0.2</w:t>
            </w:r>
          </w:p>
        </w:tc>
        <w:tc>
          <w:tcPr>
            <w:tcW w:w="820" w:type="dxa"/>
            <w:vAlign w:val="bottom"/>
            <w:tcBorders>
              <w:bottom w:val="single" w:sz="8" w:color="384348"/>
            </w:tcBorders>
          </w:tcPr>
          <w:p>
            <w:pPr>
              <w:spacing w:after="0"/>
              <w:rPr>
                <w:sz w:val="19"/>
                <w:szCs w:val="19"/>
                <w:color w:val="auto"/>
              </w:rPr>
            </w:pPr>
          </w:p>
        </w:tc>
        <w:tc>
          <w:tcPr>
            <w:tcW w:w="6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tcBorders>
              <w:bottom w:val="single" w:sz="8" w:color="384348"/>
            </w:tcBorders>
          </w:tcPr>
          <w:p>
            <w:pPr>
              <w:ind w:left="140"/>
              <w:spacing w:after="0"/>
              <w:rPr>
                <w:sz w:val="20"/>
                <w:szCs w:val="20"/>
                <w:color w:val="auto"/>
              </w:rPr>
            </w:pPr>
            <w:r>
              <w:rPr>
                <w:rFonts w:ascii="Arial" w:cs="Arial" w:eastAsia="Arial" w:hAnsi="Arial"/>
                <w:sz w:val="18"/>
                <w:szCs w:val="18"/>
                <w:b w:val="1"/>
                <w:bCs w:val="1"/>
                <w:color w:val="auto"/>
              </w:rPr>
              <w:t>Total weighted average diluted shares outstanding</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317.7</w:t>
            </w:r>
          </w:p>
        </w:tc>
        <w:tc>
          <w:tcPr>
            <w:tcW w:w="840" w:type="dxa"/>
            <w:vAlign w:val="bottom"/>
            <w:tcBorders>
              <w:bottom w:val="single" w:sz="8" w:color="384348"/>
            </w:tcBorders>
          </w:tcPr>
          <w:p>
            <w:pPr>
              <w:spacing w:after="0"/>
              <w:rPr>
                <w:sz w:val="19"/>
                <w:szCs w:val="19"/>
                <w:color w:val="auto"/>
              </w:rPr>
            </w:pP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316.9</w:t>
            </w:r>
          </w:p>
        </w:tc>
        <w:tc>
          <w:tcPr>
            <w:tcW w:w="100" w:type="dxa"/>
            <w:vAlign w:val="bottom"/>
            <w:tcBorders>
              <w:bottom w:val="single" w:sz="8" w:color="384348"/>
            </w:tcBorders>
          </w:tcPr>
          <w:p>
            <w:pPr>
              <w:spacing w:after="0"/>
              <w:rPr>
                <w:sz w:val="19"/>
                <w:szCs w:val="19"/>
                <w:color w:val="auto"/>
              </w:rPr>
            </w:pPr>
          </w:p>
        </w:tc>
        <w:tc>
          <w:tcPr>
            <w:tcW w:w="460" w:type="dxa"/>
            <w:vAlign w:val="bottom"/>
            <w:tcBorders>
              <w:bottom w:val="single" w:sz="8" w:color="384348"/>
            </w:tcBorders>
          </w:tcPr>
          <w:p>
            <w:pPr>
              <w:spacing w:after="0"/>
              <w:rPr>
                <w:sz w:val="19"/>
                <w:szCs w:val="19"/>
                <w:color w:val="auto"/>
              </w:rPr>
            </w:pPr>
          </w:p>
        </w:tc>
        <w:tc>
          <w:tcPr>
            <w:tcW w:w="10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317.2</w:t>
            </w:r>
          </w:p>
        </w:tc>
        <w:tc>
          <w:tcPr>
            <w:tcW w:w="820" w:type="dxa"/>
            <w:vAlign w:val="bottom"/>
            <w:tcBorders>
              <w:bottom w:val="single" w:sz="8" w:color="384348"/>
            </w:tcBorders>
          </w:tcPr>
          <w:p>
            <w:pPr>
              <w:spacing w:after="0"/>
              <w:rPr>
                <w:sz w:val="19"/>
                <w:szCs w:val="19"/>
                <w:color w:val="auto"/>
              </w:rPr>
            </w:pPr>
          </w:p>
        </w:tc>
        <w:tc>
          <w:tcPr>
            <w:tcW w:w="6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316.9</w:t>
            </w:r>
          </w:p>
        </w:tc>
      </w:tr>
      <w:tr>
        <w:trPr>
          <w:trHeight w:val="223"/>
        </w:trPr>
        <w:tc>
          <w:tcPr>
            <w:tcW w:w="51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Earnings per share of common stock—diluted</w:t>
            </w: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2.29</w:t>
            </w:r>
          </w:p>
        </w:tc>
        <w:tc>
          <w:tcPr>
            <w:tcW w:w="840" w:type="dxa"/>
            <w:vAlign w:val="bottom"/>
            <w:tcBorders>
              <w:bottom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5.06</w:t>
            </w:r>
          </w:p>
        </w:tc>
        <w:tc>
          <w:tcPr>
            <w:tcW w:w="82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w:t>
            </w:r>
          </w:p>
        </w:tc>
      </w:tr>
      <w:tr>
        <w:trPr>
          <w:trHeight w:val="223"/>
        </w:trPr>
        <w:tc>
          <w:tcPr>
            <w:tcW w:w="5180" w:type="dxa"/>
            <w:vAlign w:val="bottom"/>
            <w:tcBorders>
              <w:bottom w:val="single" w:sz="8" w:color="auto"/>
            </w:tcBorders>
          </w:tcPr>
          <w:p>
            <w:pPr>
              <w:ind w:left="240"/>
              <w:spacing w:after="0" w:line="223" w:lineRule="exact"/>
              <w:rPr>
                <w:sz w:val="20"/>
                <w:szCs w:val="20"/>
                <w:color w:val="auto"/>
              </w:rPr>
            </w:pPr>
            <w:r>
              <w:rPr>
                <w:rFonts w:ascii="Arial" w:cs="Arial" w:eastAsia="Arial" w:hAnsi="Arial"/>
                <w:sz w:val="18"/>
                <w:szCs w:val="18"/>
                <w:color w:val="auto"/>
              </w:rPr>
              <w:t>Antidilutive securities</w:t>
            </w:r>
            <w:r>
              <w:rPr>
                <w:rFonts w:ascii="Arial" w:cs="Arial" w:eastAsia="Arial" w:hAnsi="Arial"/>
                <w:sz w:val="23"/>
                <w:szCs w:val="23"/>
                <w:color w:val="auto"/>
                <w:vertAlign w:val="superscript"/>
              </w:rPr>
              <w:t>(1)</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w:t>
            </w:r>
          </w:p>
        </w:tc>
        <w:tc>
          <w:tcPr>
            <w:tcW w:w="8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w:t>
            </w: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63" w:lineRule="exact"/>
        <w:rPr>
          <w:sz w:val="20"/>
          <w:szCs w:val="20"/>
          <w:color w:val="auto"/>
        </w:rPr>
      </w:pPr>
    </w:p>
    <w:p>
      <w:pPr>
        <w:ind w:left="340" w:hanging="332"/>
        <w:spacing w:after="0" w:line="305" w:lineRule="auto"/>
        <w:tabs>
          <w:tab w:leader="none" w:pos="338"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Outstanding stock awards not included in the computation of diluted earnings per share because their effect was antidilutive. Prior to the Spin-off, there was no dilutive effect from equity securities as the Company had no stock-based compensation awards outstanding prior to the Distribution.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Accumulated Other Comprehensive Loss by Component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jc w:val="center"/>
              <w:ind w:right="96"/>
              <w:spacing w:after="0"/>
              <w:rPr>
                <w:sz w:val="20"/>
                <w:szCs w:val="20"/>
                <w:color w:val="auto"/>
              </w:rPr>
            </w:pPr>
            <w:r>
              <w:rPr>
                <w:rFonts w:ascii="Arial" w:cs="Arial" w:eastAsia="Arial" w:hAnsi="Arial"/>
                <w:sz w:val="14"/>
                <w:szCs w:val="14"/>
                <w:b w:val="1"/>
                <w:bCs w:val="1"/>
                <w:color w:val="auto"/>
              </w:rPr>
              <w:t>Foreign Exchange</w:t>
            </w:r>
          </w:p>
        </w:tc>
        <w:tc>
          <w:tcPr>
            <w:tcW w:w="280" w:type="dxa"/>
            <w:vAlign w:val="bottom"/>
          </w:tcPr>
          <w:p>
            <w:pPr>
              <w:spacing w:after="0"/>
              <w:rPr>
                <w:sz w:val="14"/>
                <w:szCs w:val="14"/>
                <w:color w:val="auto"/>
              </w:rPr>
            </w:pPr>
          </w:p>
        </w:tc>
        <w:tc>
          <w:tcPr>
            <w:tcW w:w="13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Pension</w:t>
            </w: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Changes in Fair Value</w:t>
            </w: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jc w:val="center"/>
              <w:ind w:right="96"/>
              <w:spacing w:after="0" w:line="145" w:lineRule="exact"/>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FF4400"/>
            </w:tcBorders>
          </w:tcPr>
          <w:p>
            <w:pPr>
              <w:spacing w:after="0"/>
              <w:rPr>
                <w:sz w:val="16"/>
                <w:szCs w:val="16"/>
                <w:color w:val="auto"/>
              </w:rPr>
            </w:pPr>
          </w:p>
        </w:tc>
        <w:tc>
          <w:tcPr>
            <w:tcW w:w="340" w:type="dxa"/>
            <w:vAlign w:val="bottom"/>
            <w:tcBorders>
              <w:bottom w:val="single" w:sz="8" w:color="FF4400"/>
            </w:tcBorders>
          </w:tcPr>
          <w:p>
            <w:pPr>
              <w:spacing w:after="0"/>
              <w:rPr>
                <w:sz w:val="16"/>
                <w:szCs w:val="16"/>
                <w:color w:val="auto"/>
              </w:rPr>
            </w:pPr>
          </w:p>
        </w:tc>
        <w:tc>
          <w:tcPr>
            <w:tcW w:w="1460" w:type="dxa"/>
            <w:vAlign w:val="bottom"/>
            <w:tcBorders>
              <w:bottom w:val="single" w:sz="8" w:color="FF4400"/>
            </w:tcBorders>
          </w:tcPr>
          <w:p>
            <w:pPr>
              <w:jc w:val="center"/>
              <w:ind w:right="96"/>
              <w:spacing w:after="0"/>
              <w:rPr>
                <w:sz w:val="20"/>
                <w:szCs w:val="20"/>
                <w:color w:val="auto"/>
              </w:rPr>
            </w:pPr>
            <w:r>
              <w:rPr>
                <w:rFonts w:ascii="Arial" w:cs="Arial" w:eastAsia="Arial" w:hAnsi="Arial"/>
                <w:sz w:val="14"/>
                <w:szCs w:val="14"/>
                <w:b w:val="1"/>
                <w:bCs w:val="1"/>
                <w:color w:val="auto"/>
              </w:rPr>
              <w:t>Adjustment</w:t>
            </w:r>
          </w:p>
        </w:tc>
        <w:tc>
          <w:tcPr>
            <w:tcW w:w="280" w:type="dxa"/>
            <w:vAlign w:val="bottom"/>
            <w:tcBorders>
              <w:bottom w:val="single" w:sz="8" w:color="FF4400"/>
            </w:tcBorders>
          </w:tcPr>
          <w:p>
            <w:pPr>
              <w:spacing w:after="0"/>
              <w:rPr>
                <w:sz w:val="16"/>
                <w:szCs w:val="16"/>
                <w:color w:val="auto"/>
              </w:rPr>
            </w:pPr>
          </w:p>
        </w:tc>
        <w:tc>
          <w:tcPr>
            <w:tcW w:w="1380" w:type="dxa"/>
            <w:vAlign w:val="bottom"/>
            <w:tcBorders>
              <w:bottom w:val="single" w:sz="8" w:color="FF4400"/>
            </w:tcBorders>
          </w:tcPr>
          <w:p>
            <w:pPr>
              <w:jc w:val="right"/>
              <w:ind w:right="295"/>
              <w:spacing w:after="0"/>
              <w:rPr>
                <w:sz w:val="20"/>
                <w:szCs w:val="20"/>
                <w:color w:val="auto"/>
              </w:rPr>
            </w:pPr>
            <w:r>
              <w:rPr>
                <w:rFonts w:ascii="Arial" w:cs="Arial" w:eastAsia="Arial" w:hAnsi="Arial"/>
                <w:sz w:val="14"/>
                <w:szCs w:val="14"/>
                <w:b w:val="1"/>
                <w:bCs w:val="1"/>
                <w:color w:val="auto"/>
              </w:rPr>
              <w:t>Adjustments</w:t>
            </w:r>
          </w:p>
        </w:tc>
        <w:tc>
          <w:tcPr>
            <w:tcW w:w="1660" w:type="dxa"/>
            <w:vAlign w:val="bottom"/>
            <w:tcBorders>
              <w:bottom w:val="single" w:sz="8" w:color="FF4400"/>
            </w:tcBorders>
            <w:gridSpan w:val="2"/>
          </w:tcPr>
          <w:p>
            <w:pPr>
              <w:ind w:left="100"/>
              <w:spacing w:after="0"/>
              <w:rPr>
                <w:sz w:val="20"/>
                <w:szCs w:val="20"/>
                <w:color w:val="auto"/>
              </w:rPr>
            </w:pPr>
            <w:r>
              <w:rPr>
                <w:rFonts w:ascii="Arial" w:cs="Arial" w:eastAsia="Arial" w:hAnsi="Arial"/>
                <w:sz w:val="14"/>
                <w:szCs w:val="14"/>
                <w:b w:val="1"/>
                <w:bCs w:val="1"/>
                <w:color w:val="auto"/>
              </w:rPr>
              <w:t>of Cash Flow Hedges</w:t>
            </w:r>
          </w:p>
        </w:tc>
        <w:tc>
          <w:tcPr>
            <w:tcW w:w="420" w:type="dxa"/>
            <w:vAlign w:val="bottom"/>
            <w:tcBorders>
              <w:bottom w:val="single" w:sz="8" w:color="FF4400"/>
            </w:tcBorders>
          </w:tcPr>
          <w:p>
            <w:pPr>
              <w:spacing w:after="0"/>
              <w:rPr>
                <w:sz w:val="16"/>
                <w:szCs w:val="16"/>
                <w:color w:val="auto"/>
              </w:rPr>
            </w:pPr>
          </w:p>
        </w:tc>
        <w:tc>
          <w:tcPr>
            <w:tcW w:w="1200" w:type="dxa"/>
            <w:vAlign w:val="bottom"/>
            <w:tcBorders>
              <w:bottom w:val="single" w:sz="8" w:color="FF440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Balance as of December 31, 2025</w:t>
            </w:r>
          </w:p>
        </w:tc>
        <w:tc>
          <w:tcPr>
            <w:tcW w:w="3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(222)</w:t>
            </w:r>
          </w:p>
        </w:tc>
        <w:tc>
          <w:tcPr>
            <w:tcW w:w="28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384348"/>
            </w:tcBorders>
          </w:tcPr>
          <w:p>
            <w:pPr>
              <w:jc w:val="right"/>
              <w:ind w:right="35"/>
              <w:spacing w:after="0"/>
              <w:rPr>
                <w:sz w:val="20"/>
                <w:szCs w:val="20"/>
                <w:color w:val="auto"/>
              </w:rPr>
            </w:pPr>
            <w:r>
              <w:rPr>
                <w:rFonts w:ascii="Arial" w:cs="Arial" w:eastAsia="Arial" w:hAnsi="Arial"/>
                <w:sz w:val="18"/>
                <w:szCs w:val="18"/>
                <w:b w:val="1"/>
                <w:bCs w:val="1"/>
                <w:color w:val="auto"/>
              </w:rPr>
              <w:t>12</w:t>
            </w:r>
          </w:p>
        </w:tc>
        <w:tc>
          <w:tcPr>
            <w:tcW w:w="760" w:type="dxa"/>
            <w:vAlign w:val="bottom"/>
            <w:tcBorders>
              <w:bottom w:val="single" w:sz="8" w:color="384348"/>
            </w:tcBorders>
          </w:tcPr>
          <w:p>
            <w:pPr>
              <w:ind w:left="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384348"/>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384348"/>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r>
        <w:trPr>
          <w:trHeight w:val="169"/>
        </w:trPr>
        <w:tc>
          <w:tcPr>
            <w:tcW w:w="4500" w:type="dxa"/>
            <w:vAlign w:val="bottom"/>
          </w:tcPr>
          <w:p>
            <w:pPr>
              <w:ind w:left="240"/>
              <w:spacing w:after="0" w:line="169" w:lineRule="exact"/>
              <w:rPr>
                <w:sz w:val="20"/>
                <w:szCs w:val="20"/>
                <w:color w:val="auto"/>
              </w:rPr>
            </w:pPr>
            <w:r>
              <w:rPr>
                <w:rFonts w:ascii="Arial" w:cs="Arial" w:eastAsia="Arial" w:hAnsi="Arial"/>
                <w:sz w:val="18"/>
                <w:szCs w:val="18"/>
                <w:color w:val="auto"/>
              </w:rPr>
              <w:t>Other comprehensive (loss) income before</w:t>
            </w:r>
          </w:p>
        </w:tc>
        <w:tc>
          <w:tcPr>
            <w:tcW w:w="3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4"/>
                <w:szCs w:val="14"/>
                <w:color w:val="auto"/>
              </w:rPr>
            </w:pPr>
          </w:p>
        </w:tc>
        <w:tc>
          <w:tcPr>
            <w:tcW w:w="1380" w:type="dxa"/>
            <w:vAlign w:val="bottom"/>
            <w:vMerge w:val="restart"/>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4"/>
                <w:szCs w:val="1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BFBFBF"/>
            </w:tcBorders>
          </w:tcPr>
          <w:p>
            <w:pPr>
              <w:ind w:left="400"/>
              <w:spacing w:after="0"/>
              <w:rPr>
                <w:sz w:val="20"/>
                <w:szCs w:val="20"/>
                <w:color w:val="auto"/>
              </w:rPr>
            </w:pPr>
            <w:r>
              <w:rPr>
                <w:rFonts w:ascii="Arial" w:cs="Arial" w:eastAsia="Arial" w:hAnsi="Arial"/>
                <w:sz w:val="18"/>
                <w:szCs w:val="18"/>
                <w:color w:val="auto"/>
              </w:rPr>
              <w:t>reclassifications</w:t>
            </w:r>
          </w:p>
        </w:tc>
        <w:tc>
          <w:tcPr>
            <w:tcW w:w="340" w:type="dxa"/>
            <w:vAlign w:val="bottom"/>
            <w:tcBorders>
              <w:bottom w:val="single" w:sz="8" w:color="BFBFBF"/>
            </w:tcBorders>
          </w:tcPr>
          <w:p>
            <w:pPr>
              <w:spacing w:after="0"/>
              <w:rPr>
                <w:sz w:val="21"/>
                <w:szCs w:val="21"/>
                <w:color w:val="auto"/>
              </w:rPr>
            </w:pPr>
          </w:p>
        </w:tc>
        <w:tc>
          <w:tcPr>
            <w:tcW w:w="1460" w:type="dxa"/>
            <w:vAlign w:val="bottom"/>
            <w:tcBorders>
              <w:bottom w:val="single" w:sz="8" w:color="BFBFBF"/>
            </w:tcBorders>
            <w:vMerge w:val="continue"/>
          </w:tcPr>
          <w:p>
            <w:pPr>
              <w:spacing w:after="0"/>
              <w:rPr>
                <w:sz w:val="21"/>
                <w:szCs w:val="21"/>
                <w:color w:val="auto"/>
              </w:rPr>
            </w:pPr>
          </w:p>
        </w:tc>
        <w:tc>
          <w:tcPr>
            <w:tcW w:w="280" w:type="dxa"/>
            <w:vAlign w:val="bottom"/>
            <w:tcBorders>
              <w:bottom w:val="single" w:sz="8" w:color="BFBFBF"/>
            </w:tcBorders>
          </w:tcPr>
          <w:p>
            <w:pPr>
              <w:spacing w:after="0"/>
              <w:rPr>
                <w:sz w:val="21"/>
                <w:szCs w:val="21"/>
                <w:color w:val="auto"/>
              </w:rPr>
            </w:pPr>
          </w:p>
        </w:tc>
        <w:tc>
          <w:tcPr>
            <w:tcW w:w="1380" w:type="dxa"/>
            <w:vAlign w:val="bottom"/>
            <w:tcBorders>
              <w:bottom w:val="single" w:sz="8" w:color="BFBFBF"/>
            </w:tcBorders>
            <w:vMerge w:val="continue"/>
          </w:tcPr>
          <w:p>
            <w:pPr>
              <w:spacing w:after="0"/>
              <w:rPr>
                <w:sz w:val="21"/>
                <w:szCs w:val="21"/>
                <w:color w:val="auto"/>
              </w:rPr>
            </w:pPr>
          </w:p>
        </w:tc>
        <w:tc>
          <w:tcPr>
            <w:tcW w:w="760" w:type="dxa"/>
            <w:vAlign w:val="bottom"/>
            <w:tcBorders>
              <w:bottom w:val="single" w:sz="8" w:color="BFBFBF"/>
            </w:tcBorders>
          </w:tcPr>
          <w:p>
            <w:pPr>
              <w:spacing w:after="0"/>
              <w:rPr>
                <w:sz w:val="21"/>
                <w:szCs w:val="21"/>
                <w:color w:val="auto"/>
              </w:rPr>
            </w:pPr>
          </w:p>
        </w:tc>
        <w:tc>
          <w:tcPr>
            <w:tcW w:w="900" w:type="dxa"/>
            <w:vAlign w:val="bottom"/>
            <w:tcBorders>
              <w:bottom w:val="single" w:sz="8" w:color="BFBFBF"/>
            </w:tcBorders>
            <w:vMerge w:val="continue"/>
          </w:tcPr>
          <w:p>
            <w:pPr>
              <w:spacing w:after="0"/>
              <w:rPr>
                <w:sz w:val="21"/>
                <w:szCs w:val="21"/>
                <w:color w:val="auto"/>
              </w:rPr>
            </w:pPr>
          </w:p>
        </w:tc>
        <w:tc>
          <w:tcPr>
            <w:tcW w:w="420" w:type="dxa"/>
            <w:vAlign w:val="bottom"/>
            <w:tcBorders>
              <w:bottom w:val="single" w:sz="8" w:color="BFBFBF"/>
            </w:tcBorders>
          </w:tcPr>
          <w:p>
            <w:pPr>
              <w:spacing w:after="0"/>
              <w:rPr>
                <w:sz w:val="21"/>
                <w:szCs w:val="21"/>
                <w:color w:val="auto"/>
              </w:rPr>
            </w:pPr>
          </w:p>
        </w:tc>
        <w:tc>
          <w:tcPr>
            <w:tcW w:w="1200" w:type="dxa"/>
            <w:vAlign w:val="bottom"/>
            <w:tcBorders>
              <w:bottom w:val="single" w:sz="8" w:color="BFBFB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500" w:type="dxa"/>
            <w:vAlign w:val="bottom"/>
          </w:tcPr>
          <w:p>
            <w:pPr>
              <w:ind w:left="240"/>
              <w:spacing w:after="0" w:line="169" w:lineRule="exact"/>
              <w:rPr>
                <w:sz w:val="20"/>
                <w:szCs w:val="20"/>
                <w:color w:val="auto"/>
              </w:rPr>
            </w:pPr>
            <w:r>
              <w:rPr>
                <w:rFonts w:ascii="Arial" w:cs="Arial" w:eastAsia="Arial" w:hAnsi="Arial"/>
                <w:sz w:val="18"/>
                <w:szCs w:val="18"/>
                <w:color w:val="auto"/>
              </w:rPr>
              <w:t>Amounts reclassified from accumulated other</w:t>
            </w:r>
          </w:p>
        </w:tc>
        <w:tc>
          <w:tcPr>
            <w:tcW w:w="340" w:type="dxa"/>
            <w:vAlign w:val="bottom"/>
          </w:tcPr>
          <w:p>
            <w:pPr>
              <w:spacing w:after="0"/>
              <w:rPr>
                <w:sz w:val="14"/>
                <w:szCs w:val="14"/>
                <w:color w:val="auto"/>
              </w:rPr>
            </w:pPr>
          </w:p>
        </w:tc>
        <w:tc>
          <w:tcPr>
            <w:tcW w:w="1460" w:type="dxa"/>
            <w:vAlign w:val="bottom"/>
            <w:vMerge w:val="restart"/>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4"/>
                <w:szCs w:val="1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384348"/>
            </w:tcBorders>
          </w:tcPr>
          <w:p>
            <w:pPr>
              <w:ind w:left="40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384348"/>
            </w:tcBorders>
          </w:tcPr>
          <w:p>
            <w:pPr>
              <w:spacing w:after="0"/>
              <w:rPr>
                <w:sz w:val="21"/>
                <w:szCs w:val="21"/>
                <w:color w:val="auto"/>
              </w:rPr>
            </w:pPr>
          </w:p>
        </w:tc>
        <w:tc>
          <w:tcPr>
            <w:tcW w:w="1460" w:type="dxa"/>
            <w:vAlign w:val="bottom"/>
            <w:tcBorders>
              <w:bottom w:val="single" w:sz="8" w:color="384348"/>
            </w:tcBorders>
            <w:vMerge w:val="continue"/>
          </w:tcPr>
          <w:p>
            <w:pPr>
              <w:spacing w:after="0"/>
              <w:rPr>
                <w:sz w:val="21"/>
                <w:szCs w:val="21"/>
                <w:color w:val="auto"/>
              </w:rPr>
            </w:pPr>
          </w:p>
        </w:tc>
        <w:tc>
          <w:tcPr>
            <w:tcW w:w="280" w:type="dxa"/>
            <w:vAlign w:val="bottom"/>
            <w:tcBorders>
              <w:bottom w:val="single" w:sz="8" w:color="384348"/>
            </w:tcBorders>
          </w:tcPr>
          <w:p>
            <w:pPr>
              <w:spacing w:after="0"/>
              <w:rPr>
                <w:sz w:val="21"/>
                <w:szCs w:val="21"/>
                <w:color w:val="auto"/>
              </w:rPr>
            </w:pPr>
          </w:p>
        </w:tc>
        <w:tc>
          <w:tcPr>
            <w:tcW w:w="1380" w:type="dxa"/>
            <w:vAlign w:val="bottom"/>
            <w:tcBorders>
              <w:bottom w:val="single" w:sz="8" w:color="384348"/>
            </w:tcBorders>
            <w:vMerge w:val="continue"/>
          </w:tcPr>
          <w:p>
            <w:pPr>
              <w:spacing w:after="0"/>
              <w:rPr>
                <w:sz w:val="21"/>
                <w:szCs w:val="21"/>
                <w:color w:val="auto"/>
              </w:rPr>
            </w:pPr>
          </w:p>
        </w:tc>
        <w:tc>
          <w:tcPr>
            <w:tcW w:w="760" w:type="dxa"/>
            <w:vAlign w:val="bottom"/>
            <w:tcBorders>
              <w:bottom w:val="single" w:sz="8" w:color="384348"/>
            </w:tcBorders>
          </w:tcPr>
          <w:p>
            <w:pPr>
              <w:spacing w:after="0"/>
              <w:rPr>
                <w:sz w:val="21"/>
                <w:szCs w:val="21"/>
                <w:color w:val="auto"/>
              </w:rPr>
            </w:pPr>
          </w:p>
        </w:tc>
        <w:tc>
          <w:tcPr>
            <w:tcW w:w="900" w:type="dxa"/>
            <w:vAlign w:val="bottom"/>
            <w:tcBorders>
              <w:bottom w:val="single" w:sz="8" w:color="384348"/>
            </w:tcBorders>
            <w:vMerge w:val="continue"/>
          </w:tcPr>
          <w:p>
            <w:pPr>
              <w:spacing w:after="0"/>
              <w:rPr>
                <w:sz w:val="21"/>
                <w:szCs w:val="21"/>
                <w:color w:val="auto"/>
              </w:rPr>
            </w:pPr>
          </w:p>
        </w:tc>
        <w:tc>
          <w:tcPr>
            <w:tcW w:w="420" w:type="dxa"/>
            <w:vAlign w:val="bottom"/>
            <w:tcBorders>
              <w:bottom w:val="single" w:sz="8" w:color="384348"/>
            </w:tcBorders>
          </w:tcPr>
          <w:p>
            <w:pPr>
              <w:spacing w:after="0"/>
              <w:rPr>
                <w:sz w:val="21"/>
                <w:szCs w:val="21"/>
                <w:color w:val="auto"/>
              </w:rPr>
            </w:pPr>
          </w:p>
        </w:tc>
        <w:tc>
          <w:tcPr>
            <w:tcW w:w="1200" w:type="dxa"/>
            <w:vAlign w:val="bottom"/>
            <w:tcBorders>
              <w:bottom w:val="single" w:sz="8" w:color="384348"/>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500" w:type="dxa"/>
            <w:vAlign w:val="bottom"/>
          </w:tcPr>
          <w:p>
            <w:pPr>
              <w:ind w:left="360"/>
              <w:spacing w:after="0" w:line="169" w:lineRule="exact"/>
              <w:rPr>
                <w:sz w:val="20"/>
                <w:szCs w:val="20"/>
                <w:color w:val="auto"/>
              </w:rPr>
            </w:pPr>
            <w:r>
              <w:rPr>
                <w:rFonts w:ascii="Arial" w:cs="Arial" w:eastAsia="Arial" w:hAnsi="Arial"/>
                <w:sz w:val="18"/>
                <w:szCs w:val="18"/>
                <w:b w:val="1"/>
                <w:bCs w:val="1"/>
                <w:color w:val="auto"/>
              </w:rPr>
              <w:t>Net current period other comprehensive (loss)</w:t>
            </w:r>
          </w:p>
        </w:tc>
        <w:tc>
          <w:tcPr>
            <w:tcW w:w="3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w:t>
            </w:r>
          </w:p>
        </w:tc>
        <w:tc>
          <w:tcPr>
            <w:tcW w:w="2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760" w:type="dxa"/>
            <w:vAlign w:val="bottom"/>
          </w:tcPr>
          <w:p>
            <w:pPr>
              <w:spacing w:after="0"/>
              <w:rPr>
                <w:sz w:val="14"/>
                <w:szCs w:val="1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52</w:t>
            </w: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384348"/>
            </w:tcBorders>
          </w:tcPr>
          <w:p>
            <w:pPr>
              <w:ind w:left="520"/>
              <w:spacing w:after="0"/>
              <w:rPr>
                <w:sz w:val="20"/>
                <w:szCs w:val="20"/>
                <w:color w:val="auto"/>
              </w:rPr>
            </w:pPr>
            <w:r>
              <w:rPr>
                <w:rFonts w:ascii="Arial" w:cs="Arial" w:eastAsia="Arial" w:hAnsi="Arial"/>
                <w:sz w:val="18"/>
                <w:szCs w:val="18"/>
                <w:b w:val="1"/>
                <w:bCs w:val="1"/>
                <w:color w:val="auto"/>
              </w:rPr>
              <w:t>income</w:t>
            </w:r>
          </w:p>
        </w:tc>
        <w:tc>
          <w:tcPr>
            <w:tcW w:w="340" w:type="dxa"/>
            <w:vAlign w:val="bottom"/>
            <w:tcBorders>
              <w:bottom w:val="single" w:sz="8" w:color="384348"/>
            </w:tcBorders>
          </w:tcPr>
          <w:p>
            <w:pPr>
              <w:spacing w:after="0"/>
              <w:rPr>
                <w:sz w:val="21"/>
                <w:szCs w:val="21"/>
                <w:color w:val="auto"/>
              </w:rPr>
            </w:pPr>
          </w:p>
        </w:tc>
        <w:tc>
          <w:tcPr>
            <w:tcW w:w="1460" w:type="dxa"/>
            <w:vAlign w:val="bottom"/>
            <w:tcBorders>
              <w:bottom w:val="single" w:sz="8" w:color="384348"/>
            </w:tcBorders>
            <w:vMerge w:val="continue"/>
          </w:tcPr>
          <w:p>
            <w:pPr>
              <w:spacing w:after="0"/>
              <w:rPr>
                <w:sz w:val="21"/>
                <w:szCs w:val="21"/>
                <w:color w:val="auto"/>
              </w:rPr>
            </w:pPr>
          </w:p>
        </w:tc>
        <w:tc>
          <w:tcPr>
            <w:tcW w:w="280" w:type="dxa"/>
            <w:vAlign w:val="bottom"/>
            <w:tcBorders>
              <w:bottom w:val="single" w:sz="8" w:color="384348"/>
            </w:tcBorders>
          </w:tcPr>
          <w:p>
            <w:pPr>
              <w:spacing w:after="0"/>
              <w:rPr>
                <w:sz w:val="21"/>
                <w:szCs w:val="21"/>
                <w:color w:val="auto"/>
              </w:rPr>
            </w:pPr>
          </w:p>
        </w:tc>
        <w:tc>
          <w:tcPr>
            <w:tcW w:w="1380" w:type="dxa"/>
            <w:vAlign w:val="bottom"/>
            <w:tcBorders>
              <w:bottom w:val="single" w:sz="8" w:color="384348"/>
            </w:tcBorders>
            <w:vMerge w:val="continue"/>
          </w:tcPr>
          <w:p>
            <w:pPr>
              <w:spacing w:after="0"/>
              <w:rPr>
                <w:sz w:val="21"/>
                <w:szCs w:val="21"/>
                <w:color w:val="auto"/>
              </w:rPr>
            </w:pPr>
          </w:p>
        </w:tc>
        <w:tc>
          <w:tcPr>
            <w:tcW w:w="760" w:type="dxa"/>
            <w:vAlign w:val="bottom"/>
            <w:tcBorders>
              <w:bottom w:val="single" w:sz="8" w:color="384348"/>
            </w:tcBorders>
          </w:tcPr>
          <w:p>
            <w:pPr>
              <w:spacing w:after="0"/>
              <w:rPr>
                <w:sz w:val="21"/>
                <w:szCs w:val="21"/>
                <w:color w:val="auto"/>
              </w:rPr>
            </w:pPr>
          </w:p>
        </w:tc>
        <w:tc>
          <w:tcPr>
            <w:tcW w:w="900" w:type="dxa"/>
            <w:vAlign w:val="bottom"/>
            <w:tcBorders>
              <w:bottom w:val="single" w:sz="8" w:color="384348"/>
            </w:tcBorders>
            <w:vMerge w:val="continue"/>
          </w:tcPr>
          <w:p>
            <w:pPr>
              <w:spacing w:after="0"/>
              <w:rPr>
                <w:sz w:val="21"/>
                <w:szCs w:val="21"/>
                <w:color w:val="auto"/>
              </w:rPr>
            </w:pPr>
          </w:p>
        </w:tc>
        <w:tc>
          <w:tcPr>
            <w:tcW w:w="420" w:type="dxa"/>
            <w:vAlign w:val="bottom"/>
            <w:tcBorders>
              <w:bottom w:val="single" w:sz="8" w:color="384348"/>
            </w:tcBorders>
          </w:tcPr>
          <w:p>
            <w:pPr>
              <w:spacing w:after="0"/>
              <w:rPr>
                <w:sz w:val="21"/>
                <w:szCs w:val="21"/>
                <w:color w:val="auto"/>
              </w:rPr>
            </w:pPr>
          </w:p>
        </w:tc>
        <w:tc>
          <w:tcPr>
            <w:tcW w:w="1200" w:type="dxa"/>
            <w:vAlign w:val="bottom"/>
            <w:tcBorders>
              <w:bottom w:val="single" w:sz="8" w:color="384348"/>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500" w:type="dxa"/>
            <w:vAlign w:val="bottom"/>
          </w:tcPr>
          <w:p>
            <w:pPr>
              <w:ind w:left="360"/>
              <w:spacing w:after="0" w:line="169" w:lineRule="exact"/>
              <w:rPr>
                <w:sz w:val="20"/>
                <w:szCs w:val="20"/>
                <w:color w:val="auto"/>
              </w:rPr>
            </w:pPr>
            <w:r>
              <w:rPr>
                <w:rFonts w:ascii="Arial" w:cs="Arial" w:eastAsia="Arial" w:hAnsi="Arial"/>
                <w:sz w:val="18"/>
                <w:szCs w:val="18"/>
                <w:color w:val="auto"/>
              </w:rPr>
              <w:t>Recognition of amounts in Accumulated other</w:t>
            </w: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500" w:type="dxa"/>
            <w:vAlign w:val="bottom"/>
          </w:tcPr>
          <w:p>
            <w:pPr>
              <w:ind w:left="520"/>
              <w:spacing w:after="0" w:line="183" w:lineRule="exact"/>
              <w:rPr>
                <w:sz w:val="20"/>
                <w:szCs w:val="20"/>
                <w:color w:val="auto"/>
              </w:rPr>
            </w:pPr>
            <w:r>
              <w:rPr>
                <w:rFonts w:ascii="Arial" w:cs="Arial" w:eastAsia="Arial" w:hAnsi="Arial"/>
                <w:sz w:val="18"/>
                <w:szCs w:val="18"/>
                <w:color w:val="auto"/>
              </w:rPr>
              <w:t>comprehensive loss related to Transfers from</w:t>
            </w:r>
          </w:p>
        </w:tc>
        <w:tc>
          <w:tcPr>
            <w:tcW w:w="340" w:type="dxa"/>
            <w:vAlign w:val="bottom"/>
          </w:tcPr>
          <w:p>
            <w:pPr>
              <w:spacing w:after="0"/>
              <w:rPr>
                <w:sz w:val="15"/>
                <w:szCs w:val="15"/>
                <w:color w:val="auto"/>
              </w:rPr>
            </w:pPr>
          </w:p>
        </w:tc>
        <w:tc>
          <w:tcPr>
            <w:tcW w:w="1460" w:type="dxa"/>
            <w:vAlign w:val="bottom"/>
            <w:vMerge w:val="restart"/>
          </w:tcPr>
          <w:p>
            <w:pPr>
              <w:jc w:val="right"/>
              <w:ind w:right="36"/>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(630)</w:t>
            </w:r>
          </w:p>
        </w:tc>
        <w:tc>
          <w:tcPr>
            <w:tcW w:w="7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5"/>
        </w:trPr>
        <w:tc>
          <w:tcPr>
            <w:tcW w:w="45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Parent</w:t>
            </w: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Balance as of September 26, 2026</w:t>
            </w:r>
          </w:p>
        </w:tc>
        <w:tc>
          <w:tcPr>
            <w:tcW w:w="3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(227)</w:t>
            </w:r>
          </w:p>
        </w:tc>
        <w:tc>
          <w:tcPr>
            <w:tcW w:w="28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(619)</w:t>
            </w:r>
          </w:p>
        </w:tc>
        <w:tc>
          <w:tcPr>
            <w:tcW w:w="760" w:type="dxa"/>
            <w:vAlign w:val="bottom"/>
            <w:tcBorders>
              <w:bottom w:val="single" w:sz="8" w:color="384348"/>
            </w:tcBorders>
          </w:tcPr>
          <w:p>
            <w:pPr>
              <w:ind w:left="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384348"/>
            </w:tcBorders>
          </w:tcPr>
          <w:p>
            <w:pPr>
              <w:jc w:val="right"/>
              <w:ind w:right="30"/>
              <w:spacing w:after="0"/>
              <w:rPr>
                <w:sz w:val="20"/>
                <w:szCs w:val="20"/>
                <w:color w:val="auto"/>
              </w:rPr>
            </w:pPr>
            <w:r>
              <w:rPr>
                <w:rFonts w:ascii="Arial" w:cs="Arial" w:eastAsia="Arial" w:hAnsi="Arial"/>
                <w:sz w:val="18"/>
                <w:szCs w:val="18"/>
                <w:b w:val="1"/>
                <w:bCs w:val="1"/>
                <w:color w:val="auto"/>
              </w:rPr>
              <w:t>46</w:t>
            </w:r>
          </w:p>
        </w:tc>
        <w:tc>
          <w:tcPr>
            <w:tcW w:w="420" w:type="dxa"/>
            <w:vAlign w:val="bottom"/>
            <w:tcBorders>
              <w:bottom w:val="single" w:sz="8" w:color="384348"/>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97"/>
              <w:spacing w:after="0"/>
              <w:rPr>
                <w:sz w:val="20"/>
                <w:szCs w:val="20"/>
                <w:color w:val="auto"/>
              </w:rPr>
            </w:pPr>
            <w:r>
              <w:rPr>
                <w:rFonts w:ascii="Arial" w:cs="Arial" w:eastAsia="Arial" w:hAnsi="Arial"/>
                <w:sz w:val="14"/>
                <w:szCs w:val="14"/>
                <w:b w:val="1"/>
                <w:bCs w:val="1"/>
                <w:color w:val="auto"/>
              </w:rPr>
              <w:t>Foreign Exchange</w:t>
            </w:r>
          </w:p>
        </w:tc>
        <w:tc>
          <w:tcPr>
            <w:tcW w:w="280" w:type="dxa"/>
            <w:vAlign w:val="bottom"/>
          </w:tcPr>
          <w:p>
            <w:pPr>
              <w:spacing w:after="0"/>
              <w:rPr>
                <w:sz w:val="14"/>
                <w:szCs w:val="14"/>
                <w:color w:val="auto"/>
              </w:rPr>
            </w:pPr>
          </w:p>
        </w:tc>
        <w:tc>
          <w:tcPr>
            <w:tcW w:w="136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Pension</w:t>
            </w: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Changes in Fair Value</w:t>
            </w: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97"/>
              <w:spacing w:after="0" w:line="145" w:lineRule="exact"/>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600" w:type="dxa"/>
            <w:vAlign w:val="bottom"/>
            <w:tcBorders>
              <w:bottom w:val="single" w:sz="8" w:color="FF4400"/>
            </w:tcBorders>
          </w:tcPr>
          <w:p>
            <w:pPr>
              <w:spacing w:after="0"/>
              <w:rPr>
                <w:sz w:val="16"/>
                <w:szCs w:val="16"/>
                <w:color w:val="auto"/>
              </w:rPr>
            </w:pPr>
          </w:p>
        </w:tc>
        <w:tc>
          <w:tcPr>
            <w:tcW w:w="240" w:type="dxa"/>
            <w:vAlign w:val="bottom"/>
            <w:tcBorders>
              <w:bottom w:val="single" w:sz="8" w:color="FF4400"/>
            </w:tcBorders>
          </w:tcPr>
          <w:p>
            <w:pPr>
              <w:spacing w:after="0"/>
              <w:rPr>
                <w:sz w:val="16"/>
                <w:szCs w:val="16"/>
                <w:color w:val="auto"/>
              </w:rPr>
            </w:pPr>
          </w:p>
        </w:tc>
        <w:tc>
          <w:tcPr>
            <w:tcW w:w="1460" w:type="dxa"/>
            <w:vAlign w:val="bottom"/>
            <w:tcBorders>
              <w:bottom w:val="single" w:sz="8" w:color="FF4400"/>
            </w:tcBorders>
          </w:tcPr>
          <w:p>
            <w:pPr>
              <w:jc w:val="center"/>
              <w:ind w:right="97"/>
              <w:spacing w:after="0"/>
              <w:rPr>
                <w:sz w:val="20"/>
                <w:szCs w:val="20"/>
                <w:color w:val="auto"/>
              </w:rPr>
            </w:pPr>
            <w:r>
              <w:rPr>
                <w:rFonts w:ascii="Arial" w:cs="Arial" w:eastAsia="Arial" w:hAnsi="Arial"/>
                <w:sz w:val="14"/>
                <w:szCs w:val="14"/>
                <w:b w:val="1"/>
                <w:bCs w:val="1"/>
                <w:color w:val="auto"/>
              </w:rPr>
              <w:t>Adjustment</w:t>
            </w:r>
          </w:p>
        </w:tc>
        <w:tc>
          <w:tcPr>
            <w:tcW w:w="280" w:type="dxa"/>
            <w:vAlign w:val="bottom"/>
            <w:tcBorders>
              <w:bottom w:val="single" w:sz="8" w:color="FF4400"/>
            </w:tcBorders>
          </w:tcPr>
          <w:p>
            <w:pPr>
              <w:spacing w:after="0"/>
              <w:rPr>
                <w:sz w:val="16"/>
                <w:szCs w:val="16"/>
                <w:color w:val="auto"/>
              </w:rPr>
            </w:pPr>
          </w:p>
        </w:tc>
        <w:tc>
          <w:tcPr>
            <w:tcW w:w="1360" w:type="dxa"/>
            <w:vAlign w:val="bottom"/>
            <w:tcBorders>
              <w:bottom w:val="single" w:sz="8" w:color="FF4400"/>
            </w:tcBorders>
          </w:tcPr>
          <w:p>
            <w:pPr>
              <w:jc w:val="right"/>
              <w:ind w:right="275"/>
              <w:spacing w:after="0"/>
              <w:rPr>
                <w:sz w:val="20"/>
                <w:szCs w:val="20"/>
                <w:color w:val="auto"/>
              </w:rPr>
            </w:pPr>
            <w:r>
              <w:rPr>
                <w:rFonts w:ascii="Arial" w:cs="Arial" w:eastAsia="Arial" w:hAnsi="Arial"/>
                <w:sz w:val="14"/>
                <w:szCs w:val="14"/>
                <w:b w:val="1"/>
                <w:bCs w:val="1"/>
                <w:color w:val="auto"/>
              </w:rPr>
              <w:t>Adjustments</w:t>
            </w:r>
          </w:p>
        </w:tc>
        <w:tc>
          <w:tcPr>
            <w:tcW w:w="1680" w:type="dxa"/>
            <w:vAlign w:val="bottom"/>
            <w:tcBorders>
              <w:bottom w:val="single" w:sz="8" w:color="FF4400"/>
            </w:tcBorders>
            <w:gridSpan w:val="2"/>
          </w:tcPr>
          <w:p>
            <w:pPr>
              <w:ind w:left="120"/>
              <w:spacing w:after="0"/>
              <w:rPr>
                <w:sz w:val="20"/>
                <w:szCs w:val="20"/>
                <w:color w:val="auto"/>
              </w:rPr>
            </w:pPr>
            <w:r>
              <w:rPr>
                <w:rFonts w:ascii="Arial" w:cs="Arial" w:eastAsia="Arial" w:hAnsi="Arial"/>
                <w:sz w:val="14"/>
                <w:szCs w:val="14"/>
                <w:b w:val="1"/>
                <w:bCs w:val="1"/>
                <w:color w:val="auto"/>
              </w:rPr>
              <w:t>of Cash Flow Hedges</w:t>
            </w:r>
          </w:p>
        </w:tc>
        <w:tc>
          <w:tcPr>
            <w:tcW w:w="420" w:type="dxa"/>
            <w:vAlign w:val="bottom"/>
            <w:tcBorders>
              <w:bottom w:val="single" w:sz="8" w:color="FF4400"/>
            </w:tcBorders>
          </w:tcPr>
          <w:p>
            <w:pPr>
              <w:spacing w:after="0"/>
              <w:rPr>
                <w:sz w:val="16"/>
                <w:szCs w:val="16"/>
                <w:color w:val="auto"/>
              </w:rPr>
            </w:pPr>
          </w:p>
        </w:tc>
        <w:tc>
          <w:tcPr>
            <w:tcW w:w="1200" w:type="dxa"/>
            <w:vAlign w:val="bottom"/>
            <w:tcBorders>
              <w:bottom w:val="single" w:sz="8" w:color="FF440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Balance as of December 31, 2024</w:t>
            </w:r>
          </w:p>
        </w:tc>
        <w:tc>
          <w:tcPr>
            <w:tcW w:w="2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(312)</w:t>
            </w:r>
          </w:p>
        </w:tc>
        <w:tc>
          <w:tcPr>
            <w:tcW w:w="28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384348"/>
            </w:tcBorders>
          </w:tcPr>
          <w:p>
            <w:pPr>
              <w:jc w:val="right"/>
              <w:ind w:right="15"/>
              <w:spacing w:after="0"/>
              <w:rPr>
                <w:sz w:val="20"/>
                <w:szCs w:val="20"/>
                <w:color w:val="auto"/>
              </w:rPr>
            </w:pPr>
            <w:r>
              <w:rPr>
                <w:rFonts w:ascii="Arial" w:cs="Arial" w:eastAsia="Arial" w:hAnsi="Arial"/>
                <w:sz w:val="18"/>
                <w:szCs w:val="18"/>
                <w:b w:val="1"/>
                <w:bCs w:val="1"/>
                <w:color w:val="auto"/>
              </w:rPr>
              <w:t>1</w:t>
            </w:r>
          </w:p>
        </w:tc>
        <w:tc>
          <w:tcPr>
            <w:tcW w:w="800" w:type="dxa"/>
            <w:vAlign w:val="bottom"/>
            <w:tcBorders>
              <w:bottom w:val="single" w:sz="8" w:color="384348"/>
            </w:tcBorders>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384348"/>
            </w:tcBorders>
          </w:tcPr>
          <w:p>
            <w:pPr>
              <w:jc w:val="center"/>
              <w:ind w:left="450"/>
              <w:spacing w:after="0"/>
              <w:rPr>
                <w:sz w:val="20"/>
                <w:szCs w:val="20"/>
                <w:color w:val="auto"/>
              </w:rPr>
            </w:pPr>
            <w:r>
              <w:rPr>
                <w:rFonts w:ascii="Arial" w:cs="Arial" w:eastAsia="Arial" w:hAnsi="Arial"/>
                <w:sz w:val="18"/>
                <w:szCs w:val="18"/>
                <w:b w:val="1"/>
                <w:bCs w:val="1"/>
                <w:color w:val="auto"/>
                <w:w w:val="99"/>
              </w:rPr>
              <w:t>(1)</w:t>
            </w:r>
          </w:p>
        </w:tc>
        <w:tc>
          <w:tcPr>
            <w:tcW w:w="420" w:type="dxa"/>
            <w:vAlign w:val="bottom"/>
            <w:tcBorders>
              <w:bottom w:val="single" w:sz="8" w:color="384348"/>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(312)</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24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ind w:right="37"/>
              <w:spacing w:after="0"/>
              <w:rPr>
                <w:sz w:val="20"/>
                <w:szCs w:val="20"/>
                <w:color w:val="auto"/>
              </w:rPr>
            </w:pPr>
            <w:r>
              <w:rPr>
                <w:rFonts w:ascii="Arial" w:cs="Arial" w:eastAsia="Arial" w:hAnsi="Arial"/>
                <w:sz w:val="18"/>
                <w:szCs w:val="18"/>
                <w:color w:val="auto"/>
              </w:rPr>
              <w:t>82</w:t>
            </w:r>
          </w:p>
        </w:tc>
        <w:tc>
          <w:tcPr>
            <w:tcW w:w="280" w:type="dxa"/>
            <w:vAlign w:val="bottom"/>
            <w:tcBorders>
              <w:bottom w:val="single" w:sz="8" w:color="BFBFBF"/>
            </w:tcBorders>
          </w:tcPr>
          <w:p>
            <w:pPr>
              <w:spacing w:after="0"/>
              <w:rPr>
                <w:sz w:val="19"/>
                <w:szCs w:val="19"/>
                <w:color w:val="auto"/>
              </w:rPr>
            </w:pPr>
          </w:p>
        </w:tc>
        <w:tc>
          <w:tcPr>
            <w:tcW w:w="1360" w:type="dxa"/>
            <w:vAlign w:val="bottom"/>
            <w:tcBorders>
              <w:bottom w:val="single" w:sz="8" w:color="BFBFBF"/>
            </w:tcBorders>
          </w:tcPr>
          <w:p>
            <w:pPr>
              <w:jc w:val="right"/>
              <w:ind w:right="15"/>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BFBFBF"/>
            </w:tcBorders>
          </w:tcPr>
          <w:p>
            <w:pPr>
              <w:spacing w:after="0"/>
              <w:rPr>
                <w:sz w:val="19"/>
                <w:szCs w:val="19"/>
                <w:color w:val="auto"/>
              </w:rPr>
            </w:pPr>
          </w:p>
        </w:tc>
        <w:tc>
          <w:tcPr>
            <w:tcW w:w="880" w:type="dxa"/>
            <w:vAlign w:val="bottom"/>
            <w:tcBorders>
              <w:bottom w:val="single" w:sz="8" w:color="BFBFBF"/>
            </w:tcBorders>
          </w:tcPr>
          <w:p>
            <w:pPr>
              <w:jc w:val="center"/>
              <w:ind w:left="450"/>
              <w:spacing w:after="0"/>
              <w:rPr>
                <w:sz w:val="20"/>
                <w:szCs w:val="20"/>
                <w:color w:val="auto"/>
              </w:rPr>
            </w:pPr>
            <w:r>
              <w:rPr>
                <w:rFonts w:ascii="Arial" w:cs="Arial" w:eastAsia="Arial" w:hAnsi="Arial"/>
                <w:sz w:val="18"/>
                <w:szCs w:val="18"/>
                <w:color w:val="auto"/>
                <w:w w:val="99"/>
              </w:rPr>
              <w:t>2</w:t>
            </w:r>
          </w:p>
        </w:tc>
        <w:tc>
          <w:tcPr>
            <w:tcW w:w="4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69"/>
        </w:trPr>
        <w:tc>
          <w:tcPr>
            <w:tcW w:w="4600" w:type="dxa"/>
            <w:vAlign w:val="bottom"/>
          </w:tcPr>
          <w:p>
            <w:pPr>
              <w:ind w:left="240"/>
              <w:spacing w:after="0" w:line="169" w:lineRule="exact"/>
              <w:rPr>
                <w:sz w:val="20"/>
                <w:szCs w:val="20"/>
                <w:color w:val="auto"/>
              </w:rPr>
            </w:pPr>
            <w:r>
              <w:rPr>
                <w:rFonts w:ascii="Arial" w:cs="Arial" w:eastAsia="Arial" w:hAnsi="Arial"/>
                <w:sz w:val="18"/>
                <w:szCs w:val="18"/>
                <w:color w:val="auto"/>
              </w:rPr>
              <w:t>Amounts reclassified from accumulated other</w:t>
            </w:r>
          </w:p>
        </w:tc>
        <w:tc>
          <w:tcPr>
            <w:tcW w:w="240" w:type="dxa"/>
            <w:vAlign w:val="bottom"/>
          </w:tcPr>
          <w:p>
            <w:pPr>
              <w:spacing w:after="0"/>
              <w:rPr>
                <w:sz w:val="14"/>
                <w:szCs w:val="14"/>
                <w:color w:val="auto"/>
              </w:rPr>
            </w:pPr>
          </w:p>
        </w:tc>
        <w:tc>
          <w:tcPr>
            <w:tcW w:w="1460" w:type="dxa"/>
            <w:vAlign w:val="bottom"/>
            <w:vMerge w:val="restart"/>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1360" w:type="dxa"/>
            <w:vAlign w:val="bottom"/>
            <w:vMerge w:val="restart"/>
          </w:tcPr>
          <w:p>
            <w:pPr>
              <w:jc w:val="right"/>
              <w:ind w:right="1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4"/>
                <w:szCs w:val="14"/>
                <w:color w:val="auto"/>
              </w:rPr>
            </w:pPr>
          </w:p>
        </w:tc>
        <w:tc>
          <w:tcPr>
            <w:tcW w:w="880" w:type="dxa"/>
            <w:vAlign w:val="bottom"/>
            <w:vMerge w:val="restart"/>
          </w:tcPr>
          <w:p>
            <w:pPr>
              <w:jc w:val="center"/>
              <w:ind w:left="450"/>
              <w:spacing w:after="0"/>
              <w:rPr>
                <w:sz w:val="20"/>
                <w:szCs w:val="20"/>
                <w:color w:val="auto"/>
              </w:rPr>
            </w:pPr>
            <w:r>
              <w:rPr>
                <w:rFonts w:ascii="Arial" w:cs="Arial" w:eastAsia="Arial" w:hAnsi="Arial"/>
                <w:sz w:val="18"/>
                <w:szCs w:val="18"/>
                <w:color w:val="auto"/>
                <w:w w:val="99"/>
              </w:rPr>
              <w:t>1</w:t>
            </w: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384348"/>
            </w:tcBorders>
          </w:tcPr>
          <w:p>
            <w:pPr>
              <w:ind w:left="40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384348"/>
            </w:tcBorders>
          </w:tcPr>
          <w:p>
            <w:pPr>
              <w:spacing w:after="0"/>
              <w:rPr>
                <w:sz w:val="21"/>
                <w:szCs w:val="21"/>
                <w:color w:val="auto"/>
              </w:rPr>
            </w:pPr>
          </w:p>
        </w:tc>
        <w:tc>
          <w:tcPr>
            <w:tcW w:w="1460" w:type="dxa"/>
            <w:vAlign w:val="bottom"/>
            <w:tcBorders>
              <w:bottom w:val="single" w:sz="8" w:color="384348"/>
            </w:tcBorders>
            <w:vMerge w:val="continue"/>
          </w:tcPr>
          <w:p>
            <w:pPr>
              <w:spacing w:after="0"/>
              <w:rPr>
                <w:sz w:val="21"/>
                <w:szCs w:val="21"/>
                <w:color w:val="auto"/>
              </w:rPr>
            </w:pPr>
          </w:p>
        </w:tc>
        <w:tc>
          <w:tcPr>
            <w:tcW w:w="280" w:type="dxa"/>
            <w:vAlign w:val="bottom"/>
            <w:tcBorders>
              <w:bottom w:val="single" w:sz="8" w:color="384348"/>
            </w:tcBorders>
          </w:tcPr>
          <w:p>
            <w:pPr>
              <w:spacing w:after="0"/>
              <w:rPr>
                <w:sz w:val="21"/>
                <w:szCs w:val="21"/>
                <w:color w:val="auto"/>
              </w:rPr>
            </w:pPr>
          </w:p>
        </w:tc>
        <w:tc>
          <w:tcPr>
            <w:tcW w:w="1360" w:type="dxa"/>
            <w:vAlign w:val="bottom"/>
            <w:tcBorders>
              <w:bottom w:val="single" w:sz="8" w:color="384348"/>
            </w:tcBorders>
            <w:vMerge w:val="continue"/>
          </w:tcPr>
          <w:p>
            <w:pPr>
              <w:spacing w:after="0"/>
              <w:rPr>
                <w:sz w:val="21"/>
                <w:szCs w:val="21"/>
                <w:color w:val="auto"/>
              </w:rPr>
            </w:pPr>
          </w:p>
        </w:tc>
        <w:tc>
          <w:tcPr>
            <w:tcW w:w="800" w:type="dxa"/>
            <w:vAlign w:val="bottom"/>
            <w:tcBorders>
              <w:bottom w:val="single" w:sz="8" w:color="384348"/>
            </w:tcBorders>
          </w:tcPr>
          <w:p>
            <w:pPr>
              <w:spacing w:after="0"/>
              <w:rPr>
                <w:sz w:val="21"/>
                <w:szCs w:val="21"/>
                <w:color w:val="auto"/>
              </w:rPr>
            </w:pPr>
          </w:p>
        </w:tc>
        <w:tc>
          <w:tcPr>
            <w:tcW w:w="880" w:type="dxa"/>
            <w:vAlign w:val="bottom"/>
            <w:tcBorders>
              <w:bottom w:val="single" w:sz="8" w:color="384348"/>
            </w:tcBorders>
            <w:vMerge w:val="continue"/>
          </w:tcPr>
          <w:p>
            <w:pPr>
              <w:spacing w:after="0"/>
              <w:rPr>
                <w:sz w:val="21"/>
                <w:szCs w:val="21"/>
                <w:color w:val="auto"/>
              </w:rPr>
            </w:pPr>
          </w:p>
        </w:tc>
        <w:tc>
          <w:tcPr>
            <w:tcW w:w="420" w:type="dxa"/>
            <w:vAlign w:val="bottom"/>
            <w:tcBorders>
              <w:bottom w:val="single" w:sz="8" w:color="384348"/>
            </w:tcBorders>
          </w:tcPr>
          <w:p>
            <w:pPr>
              <w:spacing w:after="0"/>
              <w:rPr>
                <w:sz w:val="21"/>
                <w:szCs w:val="21"/>
                <w:color w:val="auto"/>
              </w:rPr>
            </w:pPr>
          </w:p>
        </w:tc>
        <w:tc>
          <w:tcPr>
            <w:tcW w:w="1200" w:type="dxa"/>
            <w:vAlign w:val="bottom"/>
            <w:tcBorders>
              <w:bottom w:val="single" w:sz="8" w:color="384348"/>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384348"/>
            </w:tcBorders>
          </w:tcPr>
          <w:p>
            <w:pPr>
              <w:ind w:left="360"/>
              <w:spacing w:after="0"/>
              <w:rPr>
                <w:sz w:val="20"/>
                <w:szCs w:val="20"/>
                <w:color w:val="auto"/>
              </w:rPr>
            </w:pPr>
            <w:r>
              <w:rPr>
                <w:rFonts w:ascii="Arial" w:cs="Arial" w:eastAsia="Arial" w:hAnsi="Arial"/>
                <w:sz w:val="18"/>
                <w:szCs w:val="18"/>
                <w:b w:val="1"/>
                <w:bCs w:val="1"/>
                <w:color w:val="auto"/>
              </w:rPr>
              <w:t>Net current period other comprehensive income</w:t>
            </w:r>
          </w:p>
        </w:tc>
        <w:tc>
          <w:tcPr>
            <w:tcW w:w="240" w:type="dxa"/>
            <w:vAlign w:val="bottom"/>
            <w:tcBorders>
              <w:bottom w:val="single" w:sz="8" w:color="384348"/>
            </w:tcBorders>
          </w:tcPr>
          <w:p>
            <w:pPr>
              <w:spacing w:after="0"/>
              <w:rPr>
                <w:sz w:val="19"/>
                <w:szCs w:val="19"/>
                <w:color w:val="auto"/>
              </w:rPr>
            </w:pPr>
          </w:p>
        </w:tc>
        <w:tc>
          <w:tcPr>
            <w:tcW w:w="1460" w:type="dxa"/>
            <w:vAlign w:val="bottom"/>
            <w:tcBorders>
              <w:bottom w:val="single" w:sz="8" w:color="384348"/>
            </w:tcBorders>
          </w:tcPr>
          <w:p>
            <w:pPr>
              <w:jc w:val="right"/>
              <w:ind w:right="37"/>
              <w:spacing w:after="0"/>
              <w:rPr>
                <w:sz w:val="20"/>
                <w:szCs w:val="20"/>
                <w:color w:val="auto"/>
              </w:rPr>
            </w:pPr>
            <w:r>
              <w:rPr>
                <w:rFonts w:ascii="Arial" w:cs="Arial" w:eastAsia="Arial" w:hAnsi="Arial"/>
                <w:sz w:val="18"/>
                <w:szCs w:val="18"/>
                <w:b w:val="1"/>
                <w:bCs w:val="1"/>
                <w:color w:val="auto"/>
              </w:rPr>
              <w:t>82</w:t>
            </w:r>
          </w:p>
        </w:tc>
        <w:tc>
          <w:tcPr>
            <w:tcW w:w="280" w:type="dxa"/>
            <w:vAlign w:val="bottom"/>
            <w:tcBorders>
              <w:bottom w:val="single" w:sz="8" w:color="384348"/>
            </w:tcBorders>
          </w:tcPr>
          <w:p>
            <w:pPr>
              <w:spacing w:after="0"/>
              <w:rPr>
                <w:sz w:val="19"/>
                <w:szCs w:val="19"/>
                <w:color w:val="auto"/>
              </w:rPr>
            </w:pPr>
          </w:p>
        </w:tc>
        <w:tc>
          <w:tcPr>
            <w:tcW w:w="1360" w:type="dxa"/>
            <w:vAlign w:val="bottom"/>
            <w:tcBorders>
              <w:bottom w:val="single" w:sz="8" w:color="384348"/>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384348"/>
            </w:tcBorders>
          </w:tcPr>
          <w:p>
            <w:pPr>
              <w:spacing w:after="0"/>
              <w:rPr>
                <w:sz w:val="19"/>
                <w:szCs w:val="19"/>
                <w:color w:val="auto"/>
              </w:rPr>
            </w:pPr>
          </w:p>
        </w:tc>
        <w:tc>
          <w:tcPr>
            <w:tcW w:w="880" w:type="dxa"/>
            <w:vAlign w:val="bottom"/>
            <w:tcBorders>
              <w:bottom w:val="single" w:sz="8" w:color="384348"/>
            </w:tcBorders>
          </w:tcPr>
          <w:p>
            <w:pPr>
              <w:jc w:val="center"/>
              <w:ind w:left="450"/>
              <w:spacing w:after="0"/>
              <w:rPr>
                <w:sz w:val="20"/>
                <w:szCs w:val="20"/>
                <w:color w:val="auto"/>
              </w:rPr>
            </w:pPr>
            <w:r>
              <w:rPr>
                <w:rFonts w:ascii="Arial" w:cs="Arial" w:eastAsia="Arial" w:hAnsi="Arial"/>
                <w:sz w:val="18"/>
                <w:szCs w:val="18"/>
                <w:b w:val="1"/>
                <w:bCs w:val="1"/>
                <w:color w:val="auto"/>
                <w:w w:val="99"/>
              </w:rPr>
              <w:t>3</w:t>
            </w:r>
          </w:p>
        </w:tc>
        <w:tc>
          <w:tcPr>
            <w:tcW w:w="420" w:type="dxa"/>
            <w:vAlign w:val="bottom"/>
            <w:tcBorders>
              <w:bottom w:val="single" w:sz="8" w:color="384348"/>
            </w:tcBorders>
          </w:tcPr>
          <w:p>
            <w:pPr>
              <w:spacing w:after="0"/>
              <w:rPr>
                <w:sz w:val="19"/>
                <w:szCs w:val="19"/>
                <w:color w:val="auto"/>
              </w:rPr>
            </w:pP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Balance as of September 27, 2025</w:t>
            </w:r>
          </w:p>
        </w:tc>
        <w:tc>
          <w:tcPr>
            <w:tcW w:w="2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(230)</w:t>
            </w:r>
          </w:p>
        </w:tc>
        <w:tc>
          <w:tcPr>
            <w:tcW w:w="28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384348"/>
            </w:tcBorders>
          </w:tcPr>
          <w:p>
            <w:pPr>
              <w:jc w:val="right"/>
              <w:ind w:right="15"/>
              <w:spacing w:after="0"/>
              <w:rPr>
                <w:sz w:val="20"/>
                <w:szCs w:val="20"/>
                <w:color w:val="auto"/>
              </w:rPr>
            </w:pPr>
            <w:r>
              <w:rPr>
                <w:rFonts w:ascii="Arial" w:cs="Arial" w:eastAsia="Arial" w:hAnsi="Arial"/>
                <w:sz w:val="18"/>
                <w:szCs w:val="18"/>
                <w:b w:val="1"/>
                <w:bCs w:val="1"/>
                <w:color w:val="auto"/>
              </w:rPr>
              <w:t>1</w:t>
            </w:r>
          </w:p>
        </w:tc>
        <w:tc>
          <w:tcPr>
            <w:tcW w:w="800" w:type="dxa"/>
            <w:vAlign w:val="bottom"/>
            <w:tcBorders>
              <w:bottom w:val="single" w:sz="8" w:color="384348"/>
            </w:tcBorders>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384348"/>
            </w:tcBorders>
          </w:tcPr>
          <w:p>
            <w:pPr>
              <w:jc w:val="center"/>
              <w:ind w:left="450"/>
              <w:spacing w:after="0"/>
              <w:rPr>
                <w:sz w:val="20"/>
                <w:szCs w:val="20"/>
                <w:color w:val="auto"/>
              </w:rPr>
            </w:pPr>
            <w:r>
              <w:rPr>
                <w:rFonts w:ascii="Arial" w:cs="Arial" w:eastAsia="Arial" w:hAnsi="Arial"/>
                <w:sz w:val="18"/>
                <w:szCs w:val="18"/>
                <w:b w:val="1"/>
                <w:bCs w:val="1"/>
                <w:color w:val="auto"/>
                <w:w w:val="99"/>
              </w:rPr>
              <w:t>2</w:t>
            </w:r>
          </w:p>
        </w:tc>
        <w:tc>
          <w:tcPr>
            <w:tcW w:w="420" w:type="dxa"/>
            <w:vAlign w:val="bottom"/>
            <w:tcBorders>
              <w:bottom w:val="single" w:sz="8" w:color="384348"/>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 Plans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periods prior to the Spin-off, certain employees of the Company participated in U.S. pension plans sponsored by Honeywell. For the purposes of the Condensed Consolidated Financial Statements, the Company accounted for these plans as multiemployer plans as they are not sponsored by the Company. Therefore, the related assets and liabilities are not reflected in the Condensed Consolidated Balance Sheets prior to the Spin-off.</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Spin-off, the Company sponsors qualified and non-qualified defined benefit pension plans for these U.S. employees (“U.S. Plans”), with benefit obligations and corresponding assets transferred from the Honeywell plans in which these employees participated. The U.S. Plans are closed to new participants. Subsequent to the Spin-off, the Company accounts for the U.S. Plans as single employer plans as they are sponsored by the Company. Therefore, the related assets and liabilities are reflected in the Condensed Consolidated Balance Sheets.</w:t>
      </w:r>
    </w:p>
    <w:p>
      <w:pPr>
        <w:spacing w:after="0" w:line="1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also sponsors defined benefit pension plans which cover non-U.S. employees, in certain jurisdictions, principally Germany and Switzerland. The largest plans are closed to new participants. The non-U.S. pension plans are not material to the Company either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balance sheet impact, including the benefit obligations, assets, and funded status associated with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Company's U.S. Plans: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20" w:type="dxa"/>
            <w:vAlign w:val="bottom"/>
            <w:tcBorders>
              <w:bottom w:val="single" w:sz="8" w:color="FF4400"/>
            </w:tcBorders>
          </w:tcPr>
          <w:p>
            <w:pPr>
              <w:spacing w:after="0"/>
              <w:rPr>
                <w:sz w:val="17"/>
                <w:szCs w:val="17"/>
                <w:color w:val="auto"/>
              </w:rPr>
            </w:pPr>
          </w:p>
        </w:tc>
        <w:tc>
          <w:tcPr>
            <w:tcW w:w="2280" w:type="dxa"/>
            <w:vAlign w:val="bottom"/>
            <w:tcBorders>
              <w:bottom w:val="single" w:sz="8" w:color="FF4400"/>
            </w:tcBorders>
          </w:tcPr>
          <w:p>
            <w:pPr>
              <w:spacing w:after="0"/>
              <w:rPr>
                <w:sz w:val="17"/>
                <w:szCs w:val="17"/>
                <w:color w:val="auto"/>
              </w:rPr>
            </w:pPr>
          </w:p>
        </w:tc>
        <w:tc>
          <w:tcPr>
            <w:tcW w:w="1740" w:type="dxa"/>
            <w:vAlign w:val="bottom"/>
            <w:tcBorders>
              <w:bottom w:val="single" w:sz="8" w:color="FF4400"/>
            </w:tcBorders>
          </w:tcPr>
          <w:p>
            <w:pPr>
              <w:jc w:val="right"/>
              <w:ind w:right="211"/>
              <w:spacing w:after="0"/>
              <w:rPr>
                <w:sz w:val="20"/>
                <w:szCs w:val="20"/>
                <w:color w:val="auto"/>
              </w:rPr>
            </w:pPr>
            <w:r>
              <w:rPr>
                <w:rFonts w:ascii="Arial" w:cs="Arial" w:eastAsia="Arial" w:hAnsi="Arial"/>
                <w:sz w:val="14"/>
                <w:szCs w:val="14"/>
                <w:b w:val="1"/>
                <w:bCs w:val="1"/>
                <w:color w:val="auto"/>
              </w:rPr>
              <w:t>September 26, 2026</w:t>
            </w:r>
          </w:p>
        </w:tc>
      </w:tr>
      <w:tr>
        <w:trPr>
          <w:trHeight w:val="224"/>
        </w:trPr>
        <w:tc>
          <w:tcPr>
            <w:tcW w:w="72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Change in benefit obligation:</w:t>
            </w:r>
          </w:p>
        </w:tc>
        <w:tc>
          <w:tcPr>
            <w:tcW w:w="2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spacing w:after="0"/>
              <w:rPr>
                <w:sz w:val="19"/>
                <w:szCs w:val="19"/>
                <w:color w:val="auto"/>
              </w:rPr>
            </w:pPr>
          </w:p>
        </w:tc>
      </w:tr>
      <w:tr>
        <w:trPr>
          <w:trHeight w:val="223"/>
        </w:trPr>
        <w:tc>
          <w:tcPr>
            <w:tcW w:w="722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Benefit obligation on December 31, 2025</w:t>
            </w:r>
          </w:p>
        </w:tc>
        <w:tc>
          <w:tcPr>
            <w:tcW w:w="22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Transfer from Honeywell</w:t>
            </w:r>
          </w:p>
        </w:tc>
        <w:tc>
          <w:tcPr>
            <w:tcW w:w="2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6,213</w:t>
            </w:r>
          </w:p>
        </w:tc>
      </w:tr>
      <w:tr>
        <w:trPr>
          <w:trHeight w:val="223"/>
        </w:trPr>
        <w:tc>
          <w:tcPr>
            <w:tcW w:w="72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Service cost</w:t>
            </w:r>
          </w:p>
        </w:tc>
        <w:tc>
          <w:tcPr>
            <w:tcW w:w="2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2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Interest cost</w:t>
            </w:r>
          </w:p>
        </w:tc>
        <w:tc>
          <w:tcPr>
            <w:tcW w:w="2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722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Benefits paid</w:t>
            </w:r>
          </w:p>
        </w:tc>
        <w:tc>
          <w:tcPr>
            <w:tcW w:w="2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7220" w:type="dxa"/>
            <w:vAlign w:val="bottom"/>
            <w:tcBorders>
              <w:bottom w:val="single" w:sz="8" w:color="384348"/>
            </w:tcBorders>
          </w:tcPr>
          <w:p>
            <w:pPr>
              <w:ind w:left="140"/>
              <w:spacing w:after="0"/>
              <w:rPr>
                <w:sz w:val="20"/>
                <w:szCs w:val="20"/>
                <w:color w:val="auto"/>
              </w:rPr>
            </w:pPr>
            <w:r>
              <w:rPr>
                <w:rFonts w:ascii="Arial" w:cs="Arial" w:eastAsia="Arial" w:hAnsi="Arial"/>
                <w:sz w:val="18"/>
                <w:szCs w:val="18"/>
                <w:b w:val="1"/>
                <w:bCs w:val="1"/>
                <w:color w:val="auto"/>
              </w:rPr>
              <w:t>Benefit obligation on September 26, 2026</w:t>
            </w:r>
          </w:p>
        </w:tc>
        <w:tc>
          <w:tcPr>
            <w:tcW w:w="2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6,177</w:t>
            </w:r>
          </w:p>
        </w:tc>
      </w:tr>
      <w:tr>
        <w:trPr>
          <w:trHeight w:val="223"/>
        </w:trPr>
        <w:tc>
          <w:tcPr>
            <w:tcW w:w="72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Change in plan assets:</w:t>
            </w:r>
          </w:p>
        </w:tc>
        <w:tc>
          <w:tcPr>
            <w:tcW w:w="2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spacing w:after="0"/>
              <w:rPr>
                <w:sz w:val="19"/>
                <w:szCs w:val="19"/>
                <w:color w:val="auto"/>
              </w:rPr>
            </w:pPr>
          </w:p>
        </w:tc>
      </w:tr>
      <w:tr>
        <w:trPr>
          <w:trHeight w:val="223"/>
        </w:trPr>
        <w:tc>
          <w:tcPr>
            <w:tcW w:w="722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Fair value of plan assets on December 31, 2025</w:t>
            </w:r>
          </w:p>
        </w:tc>
        <w:tc>
          <w:tcPr>
            <w:tcW w:w="2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Transfer from Honeywell</w:t>
            </w:r>
          </w:p>
        </w:tc>
        <w:tc>
          <w:tcPr>
            <w:tcW w:w="2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9,015</w:t>
            </w:r>
          </w:p>
        </w:tc>
      </w:tr>
      <w:tr>
        <w:trPr>
          <w:trHeight w:val="223"/>
        </w:trPr>
        <w:tc>
          <w:tcPr>
            <w:tcW w:w="72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Expected return on plan assets</w:t>
            </w:r>
          </w:p>
        </w:tc>
        <w:tc>
          <w:tcPr>
            <w:tcW w:w="2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72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Benefits paid</w:t>
            </w:r>
          </w:p>
        </w:tc>
        <w:tc>
          <w:tcPr>
            <w:tcW w:w="2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722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Employer contributions</w:t>
            </w:r>
          </w:p>
        </w:tc>
        <w:tc>
          <w:tcPr>
            <w:tcW w:w="2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220" w:type="dxa"/>
            <w:vAlign w:val="bottom"/>
            <w:tcBorders>
              <w:bottom w:val="single" w:sz="8" w:color="384348"/>
            </w:tcBorders>
          </w:tcPr>
          <w:p>
            <w:pPr>
              <w:ind w:left="140"/>
              <w:spacing w:after="0"/>
              <w:rPr>
                <w:sz w:val="20"/>
                <w:szCs w:val="20"/>
                <w:color w:val="auto"/>
              </w:rPr>
            </w:pPr>
            <w:r>
              <w:rPr>
                <w:rFonts w:ascii="Arial" w:cs="Arial" w:eastAsia="Arial" w:hAnsi="Arial"/>
                <w:sz w:val="18"/>
                <w:szCs w:val="18"/>
                <w:b w:val="1"/>
                <w:bCs w:val="1"/>
                <w:color w:val="auto"/>
              </w:rPr>
              <w:t>Expected fair value of plan assets on September 26, 2026</w:t>
            </w:r>
          </w:p>
        </w:tc>
        <w:tc>
          <w:tcPr>
            <w:tcW w:w="2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9,060</w:t>
            </w:r>
          </w:p>
        </w:tc>
      </w:tr>
      <w:tr>
        <w:trPr>
          <w:trHeight w:val="223"/>
        </w:trPr>
        <w:tc>
          <w:tcPr>
            <w:tcW w:w="722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Funded status of plans</w:t>
            </w:r>
          </w:p>
        </w:tc>
        <w:tc>
          <w:tcPr>
            <w:tcW w:w="22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2,883</w:t>
            </w:r>
          </w:p>
        </w:tc>
      </w:tr>
      <w:tr>
        <w:trPr>
          <w:trHeight w:val="223"/>
        </w:trPr>
        <w:tc>
          <w:tcPr>
            <w:tcW w:w="72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Amounts recognized in Consolidated Balance Sheets consist of:</w:t>
            </w:r>
          </w:p>
        </w:tc>
        <w:tc>
          <w:tcPr>
            <w:tcW w:w="2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spacing w:after="0"/>
              <w:rPr>
                <w:sz w:val="19"/>
                <w:szCs w:val="19"/>
                <w:color w:val="auto"/>
              </w:rPr>
            </w:pPr>
          </w:p>
        </w:tc>
      </w:tr>
      <w:tr>
        <w:trPr>
          <w:trHeight w:val="223"/>
        </w:trPr>
        <w:tc>
          <w:tcPr>
            <w:tcW w:w="722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Pension assets</w:t>
            </w:r>
          </w:p>
        </w:tc>
        <w:tc>
          <w:tcPr>
            <w:tcW w:w="22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3,022</w:t>
            </w:r>
          </w:p>
        </w:tc>
      </w:tr>
      <w:tr>
        <w:trPr>
          <w:trHeight w:val="223"/>
        </w:trPr>
        <w:tc>
          <w:tcPr>
            <w:tcW w:w="7220" w:type="dxa"/>
            <w:vAlign w:val="bottom"/>
            <w:tcBorders>
              <w:bottom w:val="single" w:sz="8" w:color="BFBFBF"/>
            </w:tcBorders>
          </w:tcPr>
          <w:p>
            <w:pPr>
              <w:ind w:left="140"/>
              <w:spacing w:after="0" w:line="223" w:lineRule="exact"/>
              <w:rPr>
                <w:sz w:val="20"/>
                <w:szCs w:val="20"/>
                <w:color w:val="auto"/>
              </w:rPr>
            </w:pPr>
            <w:r>
              <w:rPr>
                <w:rFonts w:ascii="Arial" w:cs="Arial" w:eastAsia="Arial" w:hAnsi="Arial"/>
                <w:sz w:val="18"/>
                <w:szCs w:val="18"/>
                <w:color w:val="auto"/>
              </w:rPr>
              <w:t>Accrued pension liabilities—current</w:t>
            </w:r>
            <w:r>
              <w:rPr>
                <w:rFonts w:ascii="Arial" w:cs="Arial" w:eastAsia="Arial" w:hAnsi="Arial"/>
                <w:sz w:val="23"/>
                <w:szCs w:val="23"/>
                <w:color w:val="auto"/>
                <w:vertAlign w:val="superscript"/>
              </w:rPr>
              <w:t>(1)</w:t>
            </w:r>
          </w:p>
        </w:tc>
        <w:tc>
          <w:tcPr>
            <w:tcW w:w="2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220" w:type="dxa"/>
            <w:vAlign w:val="bottom"/>
            <w:tcBorders>
              <w:bottom w:val="single" w:sz="8" w:color="384348"/>
            </w:tcBorders>
          </w:tcPr>
          <w:p>
            <w:pPr>
              <w:ind w:left="140"/>
              <w:spacing w:after="0" w:line="223" w:lineRule="exact"/>
              <w:rPr>
                <w:sz w:val="20"/>
                <w:szCs w:val="20"/>
                <w:color w:val="auto"/>
              </w:rPr>
            </w:pPr>
            <w:r>
              <w:rPr>
                <w:rFonts w:ascii="Arial" w:cs="Arial" w:eastAsia="Arial" w:hAnsi="Arial"/>
                <w:sz w:val="18"/>
                <w:szCs w:val="18"/>
                <w:color w:val="auto"/>
              </w:rPr>
              <w:t>Accrued pension liabilities—noncurrent</w:t>
            </w:r>
            <w:r>
              <w:rPr>
                <w:rFonts w:ascii="Arial" w:cs="Arial" w:eastAsia="Arial" w:hAnsi="Arial"/>
                <w:sz w:val="23"/>
                <w:szCs w:val="23"/>
                <w:color w:val="auto"/>
                <w:vertAlign w:val="superscript"/>
              </w:rPr>
              <w:t>(2)</w:t>
            </w:r>
          </w:p>
        </w:tc>
        <w:tc>
          <w:tcPr>
            <w:tcW w:w="2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722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Net amount recognized</w:t>
            </w:r>
          </w:p>
        </w:tc>
        <w:tc>
          <w:tcPr>
            <w:tcW w:w="22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2,883</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Included in Accrued liabilities in the Condensed Consolidated Balance Sheets.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Included in Other liabilities in the Condensed Consolidated Balance Sheets.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Amount recognized in Accumulated other comprehensive loss including the transfer from Honeywell, on a pre-tax basis, associated with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Company’s U.S. Plans as of September 26, 2026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300" w:type="dxa"/>
            <w:vAlign w:val="bottom"/>
            <w:tcBorders>
              <w:bottom w:val="single" w:sz="8" w:color="FF4400"/>
            </w:tcBorders>
          </w:tcPr>
          <w:p>
            <w:pPr>
              <w:spacing w:after="0"/>
              <w:rPr>
                <w:sz w:val="17"/>
                <w:szCs w:val="17"/>
                <w:color w:val="auto"/>
              </w:rPr>
            </w:pPr>
          </w:p>
        </w:tc>
        <w:tc>
          <w:tcPr>
            <w:tcW w:w="180" w:type="dxa"/>
            <w:vAlign w:val="bottom"/>
            <w:tcBorders>
              <w:bottom w:val="single" w:sz="8" w:color="FF4400"/>
            </w:tcBorders>
          </w:tcPr>
          <w:p>
            <w:pPr>
              <w:spacing w:after="0"/>
              <w:rPr>
                <w:sz w:val="17"/>
                <w:szCs w:val="17"/>
                <w:color w:val="auto"/>
              </w:rPr>
            </w:pPr>
          </w:p>
        </w:tc>
        <w:tc>
          <w:tcPr>
            <w:tcW w:w="1760" w:type="dxa"/>
            <w:vAlign w:val="bottom"/>
            <w:tcBorders>
              <w:bottom w:val="single" w:sz="8" w:color="FF4400"/>
            </w:tcBorders>
          </w:tcPr>
          <w:p>
            <w:pPr>
              <w:jc w:val="center"/>
              <w:ind w:right="95"/>
              <w:spacing w:after="0"/>
              <w:rPr>
                <w:sz w:val="20"/>
                <w:szCs w:val="20"/>
                <w:color w:val="auto"/>
              </w:rPr>
            </w:pPr>
            <w:r>
              <w:rPr>
                <w:rFonts w:ascii="Arial" w:cs="Arial" w:eastAsia="Arial" w:hAnsi="Arial"/>
                <w:sz w:val="14"/>
                <w:szCs w:val="14"/>
                <w:b w:val="1"/>
                <w:bCs w:val="1"/>
                <w:color w:val="auto"/>
              </w:rPr>
              <w:t>September 26, 2026</w:t>
            </w:r>
          </w:p>
        </w:tc>
      </w:tr>
      <w:tr>
        <w:trPr>
          <w:trHeight w:val="224"/>
        </w:trPr>
        <w:tc>
          <w:tcPr>
            <w:tcW w:w="93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Prior service (credit) cost</w:t>
            </w:r>
          </w:p>
        </w:tc>
        <w:tc>
          <w:tcPr>
            <w:tcW w:w="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30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Net actuarial loss</w:t>
            </w:r>
          </w:p>
        </w:tc>
        <w:tc>
          <w:tcPr>
            <w:tcW w:w="180" w:type="dxa"/>
            <w:vAlign w:val="bottom"/>
            <w:tcBorders>
              <w:bottom w:val="single" w:sz="8" w:color="384348"/>
            </w:tcBorders>
          </w:tcPr>
          <w:p>
            <w:pPr>
              <w:spacing w:after="0"/>
              <w:rPr>
                <w:sz w:val="19"/>
                <w:szCs w:val="19"/>
                <w:color w:val="auto"/>
              </w:rPr>
            </w:pPr>
          </w:p>
        </w:tc>
        <w:tc>
          <w:tcPr>
            <w:tcW w:w="17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867</w:t>
            </w:r>
          </w:p>
        </w:tc>
      </w:tr>
      <w:tr>
        <w:trPr>
          <w:trHeight w:val="223"/>
        </w:trPr>
        <w:tc>
          <w:tcPr>
            <w:tcW w:w="9300" w:type="dxa"/>
            <w:vAlign w:val="bottom"/>
            <w:tcBorders>
              <w:bottom w:val="single" w:sz="8" w:color="384348"/>
            </w:tcBorders>
          </w:tcPr>
          <w:p>
            <w:pPr>
              <w:ind w:left="140"/>
              <w:spacing w:after="0"/>
              <w:rPr>
                <w:sz w:val="20"/>
                <w:szCs w:val="20"/>
                <w:color w:val="auto"/>
              </w:rPr>
            </w:pPr>
            <w:r>
              <w:rPr>
                <w:rFonts w:ascii="Arial" w:cs="Arial" w:eastAsia="Arial" w:hAnsi="Arial"/>
                <w:sz w:val="18"/>
                <w:szCs w:val="18"/>
                <w:b w:val="1"/>
                <w:bCs w:val="1"/>
                <w:color w:val="auto"/>
              </w:rPr>
              <w:t>Net amount recognized</w:t>
            </w:r>
          </w:p>
        </w:tc>
        <w:tc>
          <w:tcPr>
            <w:tcW w:w="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867</w:t>
            </w:r>
          </w:p>
        </w:tc>
      </w:tr>
      <w:tr>
        <w:trPr>
          <w:trHeight w:val="470"/>
        </w:trPr>
        <w:tc>
          <w:tcPr>
            <w:tcW w:w="9300" w:type="dxa"/>
            <w:vAlign w:val="bottom"/>
          </w:tcPr>
          <w:p>
            <w:pPr>
              <w:spacing w:after="0"/>
              <w:rPr>
                <w:sz w:val="20"/>
                <w:szCs w:val="20"/>
                <w:color w:val="auto"/>
              </w:rPr>
            </w:pPr>
            <w:r>
              <w:rPr>
                <w:rFonts w:ascii="Arial" w:cs="Arial" w:eastAsia="Arial" w:hAnsi="Arial"/>
                <w:sz w:val="18"/>
                <w:szCs w:val="18"/>
                <w:color w:val="auto"/>
              </w:rPr>
              <w:t>Net periodic benefit income for the Company's U.S. Plans includes the following components:</w:t>
            </w: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00"/>
        </w:trPr>
        <w:tc>
          <w:tcPr>
            <w:tcW w:w="9300" w:type="dxa"/>
            <w:vAlign w:val="bottom"/>
          </w:tcPr>
          <w:p>
            <w:pPr>
              <w:spacing w:after="0"/>
              <w:rPr>
                <w:sz w:val="24"/>
                <w:szCs w:val="24"/>
                <w:color w:val="auto"/>
              </w:rPr>
            </w:pPr>
          </w:p>
        </w:tc>
        <w:tc>
          <w:tcPr>
            <w:tcW w:w="180" w:type="dxa"/>
            <w:vAlign w:val="bottom"/>
            <w:tcBorders>
              <w:bottom w:val="single" w:sz="8" w:color="FF4400"/>
            </w:tcBorders>
          </w:tcPr>
          <w:p>
            <w:pPr>
              <w:spacing w:after="0"/>
              <w:rPr>
                <w:sz w:val="24"/>
                <w:szCs w:val="24"/>
                <w:color w:val="auto"/>
              </w:rPr>
            </w:pPr>
          </w:p>
        </w:tc>
        <w:tc>
          <w:tcPr>
            <w:tcW w:w="1760" w:type="dxa"/>
            <w:vAlign w:val="bottom"/>
            <w:tcBorders>
              <w:bottom w:val="single" w:sz="8" w:color="FF4400"/>
            </w:tcBorders>
          </w:tcPr>
          <w:p>
            <w:pPr>
              <w:jc w:val="center"/>
              <w:ind w:right="95"/>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9300" w:type="dxa"/>
            <w:vAlign w:val="bottom"/>
            <w:tcBorders>
              <w:bottom w:val="single" w:sz="8" w:color="FF4400"/>
            </w:tcBorders>
          </w:tcPr>
          <w:p>
            <w:pPr>
              <w:spacing w:after="0"/>
              <w:rPr>
                <w:sz w:val="17"/>
                <w:szCs w:val="17"/>
                <w:color w:val="auto"/>
              </w:rPr>
            </w:pPr>
          </w:p>
        </w:tc>
        <w:tc>
          <w:tcPr>
            <w:tcW w:w="180" w:type="dxa"/>
            <w:vAlign w:val="bottom"/>
            <w:tcBorders>
              <w:bottom w:val="single" w:sz="8" w:color="FF4400"/>
            </w:tcBorders>
          </w:tcPr>
          <w:p>
            <w:pPr>
              <w:spacing w:after="0"/>
              <w:rPr>
                <w:sz w:val="17"/>
                <w:szCs w:val="17"/>
                <w:color w:val="auto"/>
              </w:rPr>
            </w:pPr>
          </w:p>
        </w:tc>
        <w:tc>
          <w:tcPr>
            <w:tcW w:w="1760" w:type="dxa"/>
            <w:vAlign w:val="bottom"/>
            <w:tcBorders>
              <w:bottom w:val="single" w:sz="8" w:color="FF4400"/>
            </w:tcBorders>
          </w:tcPr>
          <w:p>
            <w:pPr>
              <w:jc w:val="center"/>
              <w:ind w:right="95"/>
              <w:spacing w:after="0"/>
              <w:rPr>
                <w:sz w:val="20"/>
                <w:szCs w:val="20"/>
                <w:color w:val="auto"/>
              </w:rPr>
            </w:pPr>
            <w:r>
              <w:rPr>
                <w:rFonts w:ascii="Arial" w:cs="Arial" w:eastAsia="Arial" w:hAnsi="Arial"/>
                <w:sz w:val="14"/>
                <w:szCs w:val="14"/>
                <w:b w:val="1"/>
                <w:bCs w:val="1"/>
                <w:color w:val="auto"/>
              </w:rPr>
              <w:t>September 26, 2026</w:t>
            </w:r>
          </w:p>
        </w:tc>
      </w:tr>
      <w:tr>
        <w:trPr>
          <w:trHeight w:val="224"/>
        </w:trPr>
        <w:tc>
          <w:tcPr>
            <w:tcW w:w="93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Service cost</w:t>
            </w:r>
          </w:p>
        </w:tc>
        <w:tc>
          <w:tcPr>
            <w:tcW w:w="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3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Interest cost</w:t>
            </w:r>
          </w:p>
        </w:tc>
        <w:tc>
          <w:tcPr>
            <w:tcW w:w="180" w:type="dxa"/>
            <w:vAlign w:val="bottom"/>
            <w:tcBorders>
              <w:bottom w:val="single" w:sz="8" w:color="BFBFBF"/>
            </w:tcBorders>
          </w:tcPr>
          <w:p>
            <w:pPr>
              <w:spacing w:after="0"/>
              <w:rPr>
                <w:sz w:val="19"/>
                <w:szCs w:val="19"/>
                <w:color w:val="auto"/>
              </w:rPr>
            </w:pPr>
          </w:p>
        </w:tc>
        <w:tc>
          <w:tcPr>
            <w:tcW w:w="17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930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Borders>
              <w:bottom w:val="single" w:sz="8" w:color="384348"/>
            </w:tcBorders>
          </w:tcPr>
          <w:p>
            <w:pPr>
              <w:spacing w:after="0"/>
              <w:rPr>
                <w:sz w:val="19"/>
                <w:szCs w:val="19"/>
                <w:color w:val="auto"/>
              </w:rPr>
            </w:pPr>
          </w:p>
        </w:tc>
        <w:tc>
          <w:tcPr>
            <w:tcW w:w="17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9300" w:type="dxa"/>
            <w:vAlign w:val="bottom"/>
            <w:tcBorders>
              <w:bottom w:val="single" w:sz="8" w:color="384348"/>
            </w:tcBorders>
          </w:tcPr>
          <w:p>
            <w:pPr>
              <w:ind w:left="140"/>
              <w:spacing w:after="0"/>
              <w:rPr>
                <w:sz w:val="20"/>
                <w:szCs w:val="20"/>
                <w:color w:val="auto"/>
              </w:rPr>
            </w:pPr>
            <w:r>
              <w:rPr>
                <w:rFonts w:ascii="Arial" w:cs="Arial" w:eastAsia="Arial" w:hAnsi="Arial"/>
                <w:sz w:val="18"/>
                <w:szCs w:val="18"/>
                <w:b w:val="1"/>
                <w:bCs w:val="1"/>
                <w:color w:val="auto"/>
              </w:rPr>
              <w:t>Net periodic benefit income</w:t>
            </w:r>
          </w:p>
        </w:tc>
        <w:tc>
          <w:tcPr>
            <w:tcW w:w="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Major actuarial assumptions used in determining the benefit obligations and net periodic benefit (income) cost for the Company's U.S. Plans are presented in the following table as weighted averages: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Borders>
              <w:bottom w:val="single" w:sz="8" w:color="FF4400"/>
            </w:tcBorders>
          </w:tcPr>
          <w:p>
            <w:pPr>
              <w:spacing w:after="0"/>
              <w:rPr>
                <w:sz w:val="17"/>
                <w:szCs w:val="17"/>
                <w:color w:val="auto"/>
              </w:rPr>
            </w:pPr>
          </w:p>
        </w:tc>
        <w:tc>
          <w:tcPr>
            <w:tcW w:w="3460" w:type="dxa"/>
            <w:vAlign w:val="bottom"/>
            <w:tcBorders>
              <w:bottom w:val="single" w:sz="8" w:color="FF4400"/>
            </w:tcBorders>
          </w:tcPr>
          <w:p>
            <w:pPr>
              <w:jc w:val="right"/>
              <w:ind w:right="272"/>
              <w:spacing w:after="0"/>
              <w:rPr>
                <w:sz w:val="20"/>
                <w:szCs w:val="20"/>
                <w:color w:val="auto"/>
              </w:rPr>
            </w:pPr>
            <w:r>
              <w:rPr>
                <w:rFonts w:ascii="Arial" w:cs="Arial" w:eastAsia="Arial" w:hAnsi="Arial"/>
                <w:sz w:val="14"/>
                <w:szCs w:val="14"/>
                <w:b w:val="1"/>
                <w:bCs w:val="1"/>
                <w:color w:val="auto"/>
              </w:rPr>
              <w:t>September 26, 2026</w:t>
            </w:r>
          </w:p>
        </w:tc>
      </w:tr>
      <w:tr>
        <w:trPr>
          <w:trHeight w:val="224"/>
        </w:trPr>
        <w:tc>
          <w:tcPr>
            <w:tcW w:w="77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Actuarial assumptions used to determine benefit obligations:</w:t>
            </w:r>
          </w:p>
        </w:tc>
        <w:tc>
          <w:tcPr>
            <w:tcW w:w="3460" w:type="dxa"/>
            <w:vAlign w:val="bottom"/>
            <w:tcBorders>
              <w:bottom w:val="single" w:sz="8" w:color="BFBFBF"/>
            </w:tcBorders>
          </w:tcPr>
          <w:p>
            <w:pPr>
              <w:spacing w:after="0"/>
              <w:rPr>
                <w:sz w:val="19"/>
                <w:szCs w:val="19"/>
                <w:color w:val="auto"/>
              </w:rPr>
            </w:pPr>
          </w:p>
        </w:tc>
      </w:tr>
      <w:tr>
        <w:trPr>
          <w:trHeight w:val="223"/>
        </w:trPr>
        <w:tc>
          <w:tcPr>
            <w:tcW w:w="778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Discount rate</w:t>
            </w:r>
          </w:p>
        </w:tc>
        <w:tc>
          <w:tcPr>
            <w:tcW w:w="3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5.50 %</w:t>
            </w:r>
          </w:p>
        </w:tc>
      </w:tr>
      <w:tr>
        <w:trPr>
          <w:trHeight w:val="223"/>
        </w:trPr>
        <w:tc>
          <w:tcPr>
            <w:tcW w:w="778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Expected annual rate of compensation increase</w:t>
            </w:r>
          </w:p>
        </w:tc>
        <w:tc>
          <w:tcPr>
            <w:tcW w:w="3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3.25 %</w:t>
            </w:r>
          </w:p>
        </w:tc>
      </w:tr>
      <w:tr>
        <w:trPr>
          <w:trHeight w:val="223"/>
        </w:trPr>
        <w:tc>
          <w:tcPr>
            <w:tcW w:w="77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Actuarial assumptions used to determine net periodic benefit (income) cost:</w:t>
            </w:r>
          </w:p>
        </w:tc>
        <w:tc>
          <w:tcPr>
            <w:tcW w:w="3460" w:type="dxa"/>
            <w:vAlign w:val="bottom"/>
            <w:tcBorders>
              <w:bottom w:val="single" w:sz="8" w:color="BFBFBF"/>
            </w:tcBorders>
          </w:tcPr>
          <w:p>
            <w:pPr>
              <w:spacing w:after="0"/>
              <w:rPr>
                <w:sz w:val="19"/>
                <w:szCs w:val="19"/>
                <w:color w:val="auto"/>
              </w:rPr>
            </w:pPr>
          </w:p>
        </w:tc>
      </w:tr>
      <w:tr>
        <w:trPr>
          <w:trHeight w:val="223"/>
        </w:trPr>
        <w:tc>
          <w:tcPr>
            <w:tcW w:w="778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Discount rate—benefit obligation</w:t>
            </w:r>
          </w:p>
        </w:tc>
        <w:tc>
          <w:tcPr>
            <w:tcW w:w="3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5.50 %</w:t>
            </w:r>
          </w:p>
        </w:tc>
      </w:tr>
      <w:tr>
        <w:trPr>
          <w:trHeight w:val="223"/>
        </w:trPr>
        <w:tc>
          <w:tcPr>
            <w:tcW w:w="778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Discount rate—service cost</w:t>
            </w:r>
          </w:p>
        </w:tc>
        <w:tc>
          <w:tcPr>
            <w:tcW w:w="3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5.47 %</w:t>
            </w:r>
          </w:p>
        </w:tc>
      </w:tr>
      <w:tr>
        <w:trPr>
          <w:trHeight w:val="223"/>
        </w:trPr>
        <w:tc>
          <w:tcPr>
            <w:tcW w:w="778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Discount rate—interest cost</w:t>
            </w:r>
          </w:p>
        </w:tc>
        <w:tc>
          <w:tcPr>
            <w:tcW w:w="3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5.16 %</w:t>
            </w:r>
          </w:p>
        </w:tc>
      </w:tr>
      <w:tr>
        <w:trPr>
          <w:trHeight w:val="223"/>
        </w:trPr>
        <w:tc>
          <w:tcPr>
            <w:tcW w:w="778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Expected rate of return on plan assets</w:t>
            </w:r>
          </w:p>
        </w:tc>
        <w:tc>
          <w:tcPr>
            <w:tcW w:w="3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7.25 %</w:t>
            </w:r>
          </w:p>
        </w:tc>
      </w:tr>
      <w:tr>
        <w:trPr>
          <w:trHeight w:val="223"/>
        </w:trPr>
        <w:tc>
          <w:tcPr>
            <w:tcW w:w="778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Expected annual rate of compensation increase</w:t>
            </w:r>
          </w:p>
        </w:tc>
        <w:tc>
          <w:tcPr>
            <w:tcW w:w="3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3.25 %</w:t>
            </w:r>
          </w:p>
        </w:tc>
      </w:tr>
    </w:tbl>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discount rate for the Company's U.S. Plans reflects the current rate at which the associated liabilities could be settled at the measurement date, which was the date of Spin-off. To determine discount rates for the Company's U.S. Plans, the Company uses a modeling process that involves matching the expected cash outflows of the Company's benefit plans to a yield curve constructed from a portfolio of high-quality, fixed income debt instruments. The Company uses the single weighted average yield of this hypothetical portfolio as a discount rate benchmark. The Company utilizes a full yield curve approach in the estimation of the service and interest cost components of net periodic pension benefit (income) cost for the Company's U.S. Plans. This approach applies the specific spot rates along the yield curve used in the determination of the pension benefit obligation to their underlying projected cash flows and provides a more precise measurement of service and interest costs by improving the correlation between projected cash flows and their corresponding spot rates.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asset return assumption is based on historical plan asset returns over varying long-term periods combined with current market conditions and broad asset mix considerations with a focus on long-term trends rather than short-term market conditions. The Company will review the expected rate of return on an annual basis and revise it as appropriate.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relate to the Company's U.S. Plans with accumulated benefit obligations exceeding the fair value of plan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Borders>
              <w:bottom w:val="single" w:sz="8" w:color="FF4400"/>
            </w:tcBorders>
          </w:tcPr>
          <w:p>
            <w:pPr>
              <w:spacing w:after="0"/>
              <w:rPr>
                <w:sz w:val="17"/>
                <w:szCs w:val="17"/>
                <w:color w:val="auto"/>
              </w:rPr>
            </w:pPr>
          </w:p>
        </w:tc>
        <w:tc>
          <w:tcPr>
            <w:tcW w:w="3600" w:type="dxa"/>
            <w:vAlign w:val="bottom"/>
            <w:tcBorders>
              <w:bottom w:val="single" w:sz="8" w:color="FF4400"/>
            </w:tcBorders>
          </w:tcPr>
          <w:p>
            <w:pPr>
              <w:spacing w:after="0"/>
              <w:rPr>
                <w:sz w:val="17"/>
                <w:szCs w:val="17"/>
                <w:color w:val="auto"/>
              </w:rPr>
            </w:pPr>
          </w:p>
        </w:tc>
        <w:tc>
          <w:tcPr>
            <w:tcW w:w="1740" w:type="dxa"/>
            <w:vAlign w:val="bottom"/>
            <w:tcBorders>
              <w:bottom w:val="single" w:sz="8" w:color="FF4400"/>
            </w:tcBorders>
          </w:tcPr>
          <w:p>
            <w:pPr>
              <w:jc w:val="right"/>
              <w:ind w:right="215"/>
              <w:spacing w:after="0"/>
              <w:rPr>
                <w:sz w:val="20"/>
                <w:szCs w:val="20"/>
                <w:color w:val="auto"/>
              </w:rPr>
            </w:pPr>
            <w:r>
              <w:rPr>
                <w:rFonts w:ascii="Arial" w:cs="Arial" w:eastAsia="Arial" w:hAnsi="Arial"/>
                <w:sz w:val="14"/>
                <w:szCs w:val="14"/>
                <w:b w:val="1"/>
                <w:bCs w:val="1"/>
                <w:color w:val="auto"/>
              </w:rPr>
              <w:t>September 26, 2026</w:t>
            </w:r>
          </w:p>
        </w:tc>
      </w:tr>
      <w:tr>
        <w:trPr>
          <w:trHeight w:val="224"/>
        </w:trPr>
        <w:tc>
          <w:tcPr>
            <w:tcW w:w="59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Projected benefit obligation</w:t>
            </w:r>
          </w:p>
        </w:tc>
        <w:tc>
          <w:tcPr>
            <w:tcW w:w="3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59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Accumulated benefit obligation</w:t>
            </w:r>
          </w:p>
        </w:tc>
        <w:tc>
          <w:tcPr>
            <w:tcW w:w="360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59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Fair value of plan assets</w:t>
            </w:r>
          </w:p>
        </w:tc>
        <w:tc>
          <w:tcPr>
            <w:tcW w:w="360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the Company's U.S. defined benefit pension plans was $6.2 billion as of September 26, 2026.</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asset investment strategy for its U.S. Plans focuses on maintaining a diversified portfolio using various asset classes in order to achieve the Company's long-term investment objectives on a risk adjusted basis. The Company's long-term target allocations are as follows: 60%-80% fixed income securities and cash, 10%-20% public equity securities, and 0%-10% real estate and private markets investments. Fixed income securities include corporate bonds of companies from diversified industries, mortgage-backed securities, and U.S. Treasuries. Equity securities include publicly traded stock of companies located inside the United States. Real estate investments include direct investments in commercial properties and investments in real estate funds. Private market investments include investments in private equity that follow several different strategies. The Company reviews its assets on a regular basis to ensure that the Company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within the targeted asset allocation ranges and, if necessary, asset balances are adjusted back within target allocations.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accordance with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certain investments that are measured at fair value using the net asset value (NAV) per share (or its equivalent) practical expedient have not been classified in the fair value hierarchy. The fair value amounts presented in the following tables are intended to permit reconciliation of the fair value hierarchy to the amounts presented for the total pension benefits plan assets.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As of the Spin-off, the fair values of the Company's U.S. Plans’ assets transferred from Honeywell by asset category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Borders>
              <w:bottom w:val="single" w:sz="8" w:color="FF4400"/>
            </w:tcBorders>
          </w:tcPr>
          <w:p>
            <w:pPr>
              <w:spacing w:after="0"/>
              <w:rPr>
                <w:sz w:val="17"/>
                <w:szCs w:val="17"/>
                <w:color w:val="auto"/>
              </w:rPr>
            </w:pPr>
          </w:p>
        </w:tc>
        <w:tc>
          <w:tcPr>
            <w:tcW w:w="1080" w:type="dxa"/>
            <w:vAlign w:val="bottom"/>
            <w:tcBorders>
              <w:bottom w:val="single" w:sz="8" w:color="FF4400"/>
            </w:tcBorders>
          </w:tcPr>
          <w:p>
            <w:pPr>
              <w:jc w:val="right"/>
              <w:spacing w:after="0"/>
              <w:rPr>
                <w:sz w:val="20"/>
                <w:szCs w:val="20"/>
                <w:color w:val="auto"/>
              </w:rPr>
            </w:pPr>
            <w:r>
              <w:rPr>
                <w:rFonts w:ascii="Arial" w:cs="Arial" w:eastAsia="Arial" w:hAnsi="Arial"/>
                <w:sz w:val="14"/>
                <w:szCs w:val="14"/>
                <w:b w:val="1"/>
                <w:bCs w:val="1"/>
                <w:color w:val="auto"/>
              </w:rPr>
              <w:t>Total</w:t>
            </w:r>
          </w:p>
        </w:tc>
        <w:tc>
          <w:tcPr>
            <w:tcW w:w="600" w:type="dxa"/>
            <w:vAlign w:val="bottom"/>
            <w:tcBorders>
              <w:bottom w:val="single" w:sz="8" w:color="FF4400"/>
            </w:tcBorders>
          </w:tcPr>
          <w:p>
            <w:pPr>
              <w:spacing w:after="0"/>
              <w:rPr>
                <w:sz w:val="17"/>
                <w:szCs w:val="17"/>
                <w:color w:val="auto"/>
              </w:rPr>
            </w:pPr>
          </w:p>
        </w:tc>
        <w:tc>
          <w:tcPr>
            <w:tcW w:w="420" w:type="dxa"/>
            <w:vAlign w:val="bottom"/>
            <w:tcBorders>
              <w:bottom w:val="single" w:sz="8" w:color="FF4400"/>
            </w:tcBorders>
          </w:tcPr>
          <w:p>
            <w:pPr>
              <w:spacing w:after="0"/>
              <w:rPr>
                <w:sz w:val="17"/>
                <w:szCs w:val="17"/>
                <w:color w:val="auto"/>
              </w:rPr>
            </w:pPr>
          </w:p>
        </w:tc>
        <w:tc>
          <w:tcPr>
            <w:tcW w:w="1320" w:type="dxa"/>
            <w:vAlign w:val="bottom"/>
            <w:tcBorders>
              <w:bottom w:val="single" w:sz="8" w:color="FF4400"/>
            </w:tcBorders>
          </w:tcPr>
          <w:p>
            <w:pPr>
              <w:jc w:val="right"/>
              <w:ind w:right="512"/>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FF4400"/>
            </w:tcBorders>
          </w:tcPr>
          <w:p>
            <w:pPr>
              <w:spacing w:after="0"/>
              <w:rPr>
                <w:sz w:val="17"/>
                <w:szCs w:val="17"/>
                <w:color w:val="auto"/>
              </w:rPr>
            </w:pPr>
          </w:p>
        </w:tc>
        <w:tc>
          <w:tcPr>
            <w:tcW w:w="1320" w:type="dxa"/>
            <w:vAlign w:val="bottom"/>
            <w:tcBorders>
              <w:bottom w:val="single" w:sz="8" w:color="FF4400"/>
            </w:tcBorders>
          </w:tcPr>
          <w:p>
            <w:pPr>
              <w:jc w:val="right"/>
              <w:ind w:right="512"/>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FF4400"/>
            </w:tcBorders>
          </w:tcPr>
          <w:p>
            <w:pPr>
              <w:spacing w:after="0"/>
              <w:rPr>
                <w:sz w:val="17"/>
                <w:szCs w:val="17"/>
                <w:color w:val="auto"/>
              </w:rPr>
            </w:pPr>
          </w:p>
        </w:tc>
        <w:tc>
          <w:tcPr>
            <w:tcW w:w="1300" w:type="dxa"/>
            <w:vAlign w:val="bottom"/>
            <w:tcBorders>
              <w:bottom w:val="single" w:sz="8" w:color="FF4400"/>
            </w:tcBorders>
          </w:tcPr>
          <w:p>
            <w:pPr>
              <w:jc w:val="right"/>
              <w:ind w:right="492"/>
              <w:spacing w:after="0"/>
              <w:rPr>
                <w:sz w:val="20"/>
                <w:szCs w:val="20"/>
                <w:color w:val="auto"/>
              </w:rPr>
            </w:pPr>
            <w:r>
              <w:rPr>
                <w:rFonts w:ascii="Arial" w:cs="Arial" w:eastAsia="Arial" w:hAnsi="Arial"/>
                <w:sz w:val="14"/>
                <w:szCs w:val="14"/>
                <w:b w:val="1"/>
                <w:bCs w:val="1"/>
                <w:color w:val="auto"/>
              </w:rPr>
              <w:t>Level 3</w:t>
            </w:r>
          </w:p>
        </w:tc>
      </w:tr>
      <w:tr>
        <w:trPr>
          <w:trHeight w:val="224"/>
        </w:trPr>
        <w:tc>
          <w:tcPr>
            <w:tcW w:w="43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Equities:</w:t>
            </w:r>
          </w:p>
        </w:tc>
        <w:tc>
          <w:tcPr>
            <w:tcW w:w="1080" w:type="dxa"/>
            <w:vAlign w:val="bottom"/>
            <w:tcBorders>
              <w:bottom w:val="single" w:sz="8" w:color="BFBFBF"/>
            </w:tcBorders>
          </w:tcPr>
          <w:p>
            <w:pPr>
              <w:spacing w:after="0"/>
              <w:rPr>
                <w:sz w:val="19"/>
                <w:szCs w:val="19"/>
                <w:color w:val="auto"/>
              </w:rPr>
            </w:pPr>
          </w:p>
        </w:tc>
        <w:tc>
          <w:tcPr>
            <w:tcW w:w="600" w:type="dxa"/>
            <w:vAlign w:val="bottom"/>
            <w:tcBorders>
              <w:bottom w:val="single" w:sz="8" w:color="BFBFBF"/>
            </w:tcBorders>
          </w:tcPr>
          <w:p>
            <w:pPr>
              <w:spacing w:after="0"/>
              <w:rPr>
                <w:sz w:val="19"/>
                <w:szCs w:val="19"/>
                <w:color w:val="auto"/>
              </w:rPr>
            </w:pP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spacing w:after="0"/>
              <w:rPr>
                <w:sz w:val="19"/>
                <w:szCs w:val="19"/>
                <w:color w:val="auto"/>
              </w:rPr>
            </w:pP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spacing w:after="0"/>
              <w:rPr>
                <w:sz w:val="19"/>
                <w:szCs w:val="19"/>
                <w:color w:val="auto"/>
              </w:rPr>
            </w:pPr>
          </w:p>
        </w:tc>
        <w:tc>
          <w:tcPr>
            <w:tcW w:w="420" w:type="dxa"/>
            <w:vAlign w:val="bottom"/>
            <w:tcBorders>
              <w:bottom w:val="single" w:sz="8" w:color="BFBFBF"/>
            </w:tcBorders>
          </w:tcPr>
          <w:p>
            <w:pPr>
              <w:spacing w:after="0"/>
              <w:rPr>
                <w:sz w:val="19"/>
                <w:szCs w:val="19"/>
                <w:color w:val="auto"/>
              </w:rPr>
            </w:pPr>
          </w:p>
        </w:tc>
        <w:tc>
          <w:tcPr>
            <w:tcW w:w="1300" w:type="dxa"/>
            <w:vAlign w:val="bottom"/>
            <w:tcBorders>
              <w:bottom w:val="single" w:sz="8" w:color="BFBFBF"/>
            </w:tcBorders>
          </w:tcPr>
          <w:p>
            <w:pPr>
              <w:spacing w:after="0"/>
              <w:rPr>
                <w:sz w:val="19"/>
                <w:szCs w:val="19"/>
                <w:color w:val="auto"/>
              </w:rPr>
            </w:pPr>
          </w:p>
        </w:tc>
      </w:tr>
      <w:tr>
        <w:trPr>
          <w:trHeight w:val="223"/>
        </w:trPr>
        <w:tc>
          <w:tcPr>
            <w:tcW w:w="436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Honeywell Aerospace common stock</w:t>
            </w:r>
          </w:p>
        </w:tc>
        <w:tc>
          <w:tcPr>
            <w:tcW w:w="1080" w:type="dxa"/>
            <w:vAlign w:val="bottom"/>
            <w:tcBorders>
              <w:bottom w:val="single" w:sz="8" w:color="BFBFBF"/>
            </w:tcBorders>
          </w:tcPr>
          <w:p>
            <w:pPr>
              <w:jc w:val="right"/>
              <w:ind w:right="83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741</w:t>
            </w:r>
          </w:p>
        </w:tc>
        <w:tc>
          <w:tcPr>
            <w:tcW w:w="420" w:type="dxa"/>
            <w:vAlign w:val="bottom"/>
            <w:tcBorders>
              <w:bottom w:val="single" w:sz="8" w:color="BFBFBF"/>
            </w:tcBorders>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741</w:t>
            </w:r>
          </w:p>
        </w:tc>
        <w:tc>
          <w:tcPr>
            <w:tcW w:w="420" w:type="dxa"/>
            <w:vAlign w:val="bottom"/>
            <w:tcBorders>
              <w:bottom w:val="single" w:sz="8" w:color="BFBFBF"/>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BFBFBF"/>
            </w:tcBorders>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Fixed income:</w:t>
            </w:r>
          </w:p>
        </w:tc>
        <w:tc>
          <w:tcPr>
            <w:tcW w:w="1080" w:type="dxa"/>
            <w:vAlign w:val="bottom"/>
            <w:tcBorders>
              <w:bottom w:val="single" w:sz="8" w:color="BFBFBF"/>
            </w:tcBorders>
          </w:tcPr>
          <w:p>
            <w:pPr>
              <w:spacing w:after="0"/>
              <w:rPr>
                <w:sz w:val="19"/>
                <w:szCs w:val="19"/>
                <w:color w:val="auto"/>
              </w:rPr>
            </w:pPr>
          </w:p>
        </w:tc>
        <w:tc>
          <w:tcPr>
            <w:tcW w:w="600" w:type="dxa"/>
            <w:vAlign w:val="bottom"/>
            <w:tcBorders>
              <w:bottom w:val="single" w:sz="8" w:color="BFBFBF"/>
            </w:tcBorders>
          </w:tcPr>
          <w:p>
            <w:pPr>
              <w:spacing w:after="0"/>
              <w:rPr>
                <w:sz w:val="19"/>
                <w:szCs w:val="19"/>
                <w:color w:val="auto"/>
              </w:rPr>
            </w:pP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spacing w:after="0"/>
              <w:rPr>
                <w:sz w:val="19"/>
                <w:szCs w:val="19"/>
                <w:color w:val="auto"/>
              </w:rPr>
            </w:pP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spacing w:after="0"/>
              <w:rPr>
                <w:sz w:val="19"/>
                <w:szCs w:val="19"/>
                <w:color w:val="auto"/>
              </w:rPr>
            </w:pPr>
          </w:p>
        </w:tc>
        <w:tc>
          <w:tcPr>
            <w:tcW w:w="420" w:type="dxa"/>
            <w:vAlign w:val="bottom"/>
            <w:tcBorders>
              <w:bottom w:val="single" w:sz="8" w:color="BFBFBF"/>
            </w:tcBorders>
          </w:tcPr>
          <w:p>
            <w:pPr>
              <w:spacing w:after="0"/>
              <w:rPr>
                <w:sz w:val="19"/>
                <w:szCs w:val="19"/>
                <w:color w:val="auto"/>
              </w:rPr>
            </w:pPr>
          </w:p>
        </w:tc>
        <w:tc>
          <w:tcPr>
            <w:tcW w:w="1300" w:type="dxa"/>
            <w:vAlign w:val="bottom"/>
            <w:tcBorders>
              <w:bottom w:val="single" w:sz="8" w:color="BFBFBF"/>
            </w:tcBorders>
          </w:tcPr>
          <w:p>
            <w:pPr>
              <w:spacing w:after="0"/>
              <w:rPr>
                <w:sz w:val="19"/>
                <w:szCs w:val="19"/>
                <w:color w:val="auto"/>
              </w:rPr>
            </w:pPr>
          </w:p>
        </w:tc>
      </w:tr>
      <w:tr>
        <w:trPr>
          <w:trHeight w:val="223"/>
        </w:trPr>
        <w:tc>
          <w:tcPr>
            <w:tcW w:w="436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Short term investments</w:t>
            </w:r>
          </w:p>
        </w:tc>
        <w:tc>
          <w:tcPr>
            <w:tcW w:w="1080" w:type="dxa"/>
            <w:vAlign w:val="bottom"/>
            <w:tcBorders>
              <w:bottom w:val="single" w:sz="8" w:color="BFBFBF"/>
            </w:tcBorders>
          </w:tcPr>
          <w:p>
            <w:pPr>
              <w:spacing w:after="0"/>
              <w:rPr>
                <w:sz w:val="19"/>
                <w:szCs w:val="19"/>
                <w:color w:val="auto"/>
              </w:rPr>
            </w:pPr>
          </w:p>
        </w:tc>
        <w:tc>
          <w:tcPr>
            <w:tcW w:w="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338</w:t>
            </w: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335</w:t>
            </w:r>
          </w:p>
        </w:tc>
        <w:tc>
          <w:tcPr>
            <w:tcW w:w="420" w:type="dxa"/>
            <w:vAlign w:val="bottom"/>
            <w:tcBorders>
              <w:bottom w:val="single" w:sz="8" w:color="BFBFBF"/>
            </w:tcBorders>
          </w:tcPr>
          <w:p>
            <w:pPr>
              <w:spacing w:after="0"/>
              <w:rPr>
                <w:sz w:val="19"/>
                <w:szCs w:val="19"/>
                <w:color w:val="auto"/>
              </w:rPr>
            </w:pPr>
          </w:p>
        </w:tc>
        <w:tc>
          <w:tcPr>
            <w:tcW w:w="13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Government securities</w:t>
            </w:r>
          </w:p>
        </w:tc>
        <w:tc>
          <w:tcPr>
            <w:tcW w:w="1080" w:type="dxa"/>
            <w:vAlign w:val="bottom"/>
            <w:tcBorders>
              <w:bottom w:val="single" w:sz="8" w:color="BFBFBF"/>
            </w:tcBorders>
          </w:tcPr>
          <w:p>
            <w:pPr>
              <w:spacing w:after="0"/>
              <w:rPr>
                <w:sz w:val="19"/>
                <w:szCs w:val="19"/>
                <w:color w:val="auto"/>
              </w:rPr>
            </w:pPr>
          </w:p>
        </w:tc>
        <w:tc>
          <w:tcPr>
            <w:tcW w:w="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1,521</w:t>
            </w: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1,521</w:t>
            </w:r>
          </w:p>
        </w:tc>
        <w:tc>
          <w:tcPr>
            <w:tcW w:w="420" w:type="dxa"/>
            <w:vAlign w:val="bottom"/>
            <w:tcBorders>
              <w:bottom w:val="single" w:sz="8" w:color="BFBFBF"/>
            </w:tcBorders>
          </w:tcPr>
          <w:p>
            <w:pPr>
              <w:spacing w:after="0"/>
              <w:rPr>
                <w:sz w:val="19"/>
                <w:szCs w:val="19"/>
                <w:color w:val="auto"/>
              </w:rPr>
            </w:pPr>
          </w:p>
        </w:tc>
        <w:tc>
          <w:tcPr>
            <w:tcW w:w="13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Corporate bonds</w:t>
            </w:r>
          </w:p>
        </w:tc>
        <w:tc>
          <w:tcPr>
            <w:tcW w:w="1080" w:type="dxa"/>
            <w:vAlign w:val="bottom"/>
            <w:tcBorders>
              <w:bottom w:val="single" w:sz="8" w:color="BFBFBF"/>
            </w:tcBorders>
          </w:tcPr>
          <w:p>
            <w:pPr>
              <w:spacing w:after="0"/>
              <w:rPr>
                <w:sz w:val="19"/>
                <w:szCs w:val="19"/>
                <w:color w:val="auto"/>
              </w:rPr>
            </w:pPr>
          </w:p>
        </w:tc>
        <w:tc>
          <w:tcPr>
            <w:tcW w:w="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2,867</w:t>
            </w: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2,867</w:t>
            </w:r>
          </w:p>
        </w:tc>
        <w:tc>
          <w:tcPr>
            <w:tcW w:w="420" w:type="dxa"/>
            <w:vAlign w:val="bottom"/>
            <w:tcBorders>
              <w:bottom w:val="single" w:sz="8" w:color="BFBFBF"/>
            </w:tcBorders>
          </w:tcPr>
          <w:p>
            <w:pPr>
              <w:spacing w:after="0"/>
              <w:rPr>
                <w:sz w:val="19"/>
                <w:szCs w:val="19"/>
                <w:color w:val="auto"/>
              </w:rPr>
            </w:pPr>
          </w:p>
        </w:tc>
        <w:tc>
          <w:tcPr>
            <w:tcW w:w="13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Mortgage/Asset-backed securities</w:t>
            </w:r>
          </w:p>
        </w:tc>
        <w:tc>
          <w:tcPr>
            <w:tcW w:w="1080" w:type="dxa"/>
            <w:vAlign w:val="bottom"/>
            <w:tcBorders>
              <w:bottom w:val="single" w:sz="8" w:color="BFBFBF"/>
            </w:tcBorders>
          </w:tcPr>
          <w:p>
            <w:pPr>
              <w:spacing w:after="0"/>
              <w:rPr>
                <w:sz w:val="19"/>
                <w:szCs w:val="19"/>
                <w:color w:val="auto"/>
              </w:rPr>
            </w:pPr>
          </w:p>
        </w:tc>
        <w:tc>
          <w:tcPr>
            <w:tcW w:w="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BFBFBF"/>
            </w:tcBorders>
          </w:tcPr>
          <w:p>
            <w:pPr>
              <w:spacing w:after="0"/>
              <w:rPr>
                <w:sz w:val="19"/>
                <w:szCs w:val="19"/>
                <w:color w:val="auto"/>
              </w:rPr>
            </w:pPr>
          </w:p>
        </w:tc>
        <w:tc>
          <w:tcPr>
            <w:tcW w:w="13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Direct investments:</w:t>
            </w:r>
          </w:p>
        </w:tc>
        <w:tc>
          <w:tcPr>
            <w:tcW w:w="1080" w:type="dxa"/>
            <w:vAlign w:val="bottom"/>
            <w:tcBorders>
              <w:bottom w:val="single" w:sz="8" w:color="BFBFBF"/>
            </w:tcBorders>
          </w:tcPr>
          <w:p>
            <w:pPr>
              <w:spacing w:after="0"/>
              <w:rPr>
                <w:sz w:val="19"/>
                <w:szCs w:val="19"/>
                <w:color w:val="auto"/>
              </w:rPr>
            </w:pPr>
          </w:p>
        </w:tc>
        <w:tc>
          <w:tcPr>
            <w:tcW w:w="600" w:type="dxa"/>
            <w:vAlign w:val="bottom"/>
            <w:tcBorders>
              <w:bottom w:val="single" w:sz="8" w:color="BFBFBF"/>
            </w:tcBorders>
          </w:tcPr>
          <w:p>
            <w:pPr>
              <w:spacing w:after="0"/>
              <w:rPr>
                <w:sz w:val="19"/>
                <w:szCs w:val="19"/>
                <w:color w:val="auto"/>
              </w:rPr>
            </w:pP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spacing w:after="0"/>
              <w:rPr>
                <w:sz w:val="19"/>
                <w:szCs w:val="19"/>
                <w:color w:val="auto"/>
              </w:rPr>
            </w:pP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spacing w:after="0"/>
              <w:rPr>
                <w:sz w:val="19"/>
                <w:szCs w:val="19"/>
                <w:color w:val="auto"/>
              </w:rPr>
            </w:pPr>
          </w:p>
        </w:tc>
        <w:tc>
          <w:tcPr>
            <w:tcW w:w="420" w:type="dxa"/>
            <w:vAlign w:val="bottom"/>
            <w:tcBorders>
              <w:bottom w:val="single" w:sz="8" w:color="BFBFBF"/>
            </w:tcBorders>
          </w:tcPr>
          <w:p>
            <w:pPr>
              <w:spacing w:after="0"/>
              <w:rPr>
                <w:sz w:val="19"/>
                <w:szCs w:val="19"/>
                <w:color w:val="auto"/>
              </w:rPr>
            </w:pPr>
          </w:p>
        </w:tc>
        <w:tc>
          <w:tcPr>
            <w:tcW w:w="1300" w:type="dxa"/>
            <w:vAlign w:val="bottom"/>
            <w:tcBorders>
              <w:bottom w:val="single" w:sz="8" w:color="BFBFBF"/>
            </w:tcBorders>
          </w:tcPr>
          <w:p>
            <w:pPr>
              <w:spacing w:after="0"/>
              <w:rPr>
                <w:sz w:val="19"/>
                <w:szCs w:val="19"/>
                <w:color w:val="auto"/>
              </w:rPr>
            </w:pPr>
          </w:p>
        </w:tc>
      </w:tr>
      <w:tr>
        <w:trPr>
          <w:trHeight w:val="223"/>
        </w:trPr>
        <w:tc>
          <w:tcPr>
            <w:tcW w:w="436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Direct private investments</w:t>
            </w:r>
          </w:p>
        </w:tc>
        <w:tc>
          <w:tcPr>
            <w:tcW w:w="1080" w:type="dxa"/>
            <w:vAlign w:val="bottom"/>
            <w:tcBorders>
              <w:bottom w:val="single" w:sz="8" w:color="BFBFBF"/>
            </w:tcBorders>
          </w:tcPr>
          <w:p>
            <w:pPr>
              <w:spacing w:after="0"/>
              <w:rPr>
                <w:sz w:val="19"/>
                <w:szCs w:val="19"/>
                <w:color w:val="auto"/>
              </w:rPr>
            </w:pPr>
          </w:p>
        </w:tc>
        <w:tc>
          <w:tcPr>
            <w:tcW w:w="6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294</w:t>
            </w: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BFBFBF"/>
            </w:tcBorders>
          </w:tcPr>
          <w:p>
            <w:pPr>
              <w:spacing w:after="0"/>
              <w:rPr>
                <w:sz w:val="19"/>
                <w:szCs w:val="19"/>
                <w:color w:val="auto"/>
              </w:rPr>
            </w:pPr>
          </w:p>
        </w:tc>
        <w:tc>
          <w:tcPr>
            <w:tcW w:w="13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294</w:t>
            </w:r>
          </w:p>
        </w:tc>
      </w:tr>
      <w:tr>
        <w:trPr>
          <w:trHeight w:val="223"/>
        </w:trPr>
        <w:tc>
          <w:tcPr>
            <w:tcW w:w="4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Real estate properties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23"/>
        </w:trPr>
        <w:tc>
          <w:tcPr>
            <w:tcW w:w="43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6,251</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744</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4,731</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w:t>
            </w:r>
          </w:p>
        </w:tc>
      </w:tr>
      <w:tr>
        <w:trPr>
          <w:trHeight w:val="223"/>
        </w:trPr>
        <w:tc>
          <w:tcPr>
            <w:tcW w:w="43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Investments measured at NAV:</w:t>
            </w:r>
          </w:p>
        </w:tc>
        <w:tc>
          <w:tcPr>
            <w:tcW w:w="1080" w:type="dxa"/>
            <w:vAlign w:val="bottom"/>
            <w:tcBorders>
              <w:bottom w:val="single" w:sz="8" w:color="BFBFBF"/>
            </w:tcBorders>
          </w:tcPr>
          <w:p>
            <w:pPr>
              <w:spacing w:after="0"/>
              <w:rPr>
                <w:sz w:val="19"/>
                <w:szCs w:val="19"/>
                <w:color w:val="auto"/>
              </w:rPr>
            </w:pPr>
          </w:p>
        </w:tc>
        <w:tc>
          <w:tcPr>
            <w:tcW w:w="600" w:type="dxa"/>
            <w:vAlign w:val="bottom"/>
            <w:tcBorders>
              <w:bottom w:val="single" w:sz="8" w:color="BFBFBF"/>
            </w:tcBorders>
          </w:tcPr>
          <w:p>
            <w:pPr>
              <w:spacing w:after="0"/>
              <w:rPr>
                <w:sz w:val="19"/>
                <w:szCs w:val="19"/>
                <w:color w:val="auto"/>
              </w:rPr>
            </w:pP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spacing w:after="0"/>
              <w:rPr>
                <w:sz w:val="19"/>
                <w:szCs w:val="19"/>
                <w:color w:val="auto"/>
              </w:rPr>
            </w:pPr>
          </w:p>
        </w:tc>
        <w:tc>
          <w:tcPr>
            <w:tcW w:w="42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spacing w:after="0"/>
              <w:rPr>
                <w:sz w:val="19"/>
                <w:szCs w:val="19"/>
                <w:color w:val="auto"/>
              </w:rPr>
            </w:pPr>
          </w:p>
        </w:tc>
        <w:tc>
          <w:tcPr>
            <w:tcW w:w="420" w:type="dxa"/>
            <w:vAlign w:val="bottom"/>
            <w:tcBorders>
              <w:bottom w:val="single" w:sz="8" w:color="BFBFBF"/>
            </w:tcBorders>
          </w:tcPr>
          <w:p>
            <w:pPr>
              <w:spacing w:after="0"/>
              <w:rPr>
                <w:sz w:val="19"/>
                <w:szCs w:val="19"/>
                <w:color w:val="auto"/>
              </w:rPr>
            </w:pPr>
          </w:p>
        </w:tc>
        <w:tc>
          <w:tcPr>
            <w:tcW w:w="1300" w:type="dxa"/>
            <w:vAlign w:val="bottom"/>
            <w:tcBorders>
              <w:bottom w:val="single" w:sz="8" w:color="BFBFBF"/>
            </w:tcBorders>
          </w:tcPr>
          <w:p>
            <w:pPr>
              <w:spacing w:after="0"/>
              <w:rPr>
                <w:sz w:val="19"/>
                <w:szCs w:val="19"/>
                <w:color w:val="auto"/>
              </w:rPr>
            </w:pPr>
          </w:p>
        </w:tc>
      </w:tr>
      <w:tr>
        <w:trPr>
          <w:trHeight w:val="223"/>
        </w:trPr>
        <w:tc>
          <w:tcPr>
            <w:tcW w:w="4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Private equity funds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23"/>
        </w:trPr>
        <w:tc>
          <w:tcPr>
            <w:tcW w:w="43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7,212</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23"/>
        </w:trPr>
        <w:tc>
          <w:tcPr>
            <w:tcW w:w="436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18"/>
                <w:szCs w:val="18"/>
                <w:color w:val="auto"/>
              </w:rPr>
              <w:t>Other items to reconcile to fair value of plan assets</w:t>
            </w:r>
            <w:r>
              <w:rPr>
                <w:rFonts w:ascii="Arial" w:cs="Arial" w:eastAsia="Arial" w:hAnsi="Arial"/>
                <w:sz w:val="23"/>
                <w:szCs w:val="23"/>
                <w:color w:val="auto"/>
                <w:vertAlign w:val="superscript"/>
              </w:rPr>
              <w:t>(1)</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23"/>
        </w:trPr>
        <w:tc>
          <w:tcPr>
            <w:tcW w:w="43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 fair value of plan assets</w:t>
            </w:r>
          </w:p>
        </w:tc>
        <w:tc>
          <w:tcPr>
            <w:tcW w:w="108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9,015</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63" w:lineRule="exact"/>
        <w:rPr>
          <w:sz w:val="20"/>
          <w:szCs w:val="20"/>
          <w:color w:val="auto"/>
        </w:rPr>
      </w:pPr>
    </w:p>
    <w:p>
      <w:pPr>
        <w:ind w:left="340" w:hanging="332"/>
        <w:spacing w:after="0" w:line="305" w:lineRule="auto"/>
        <w:tabs>
          <w:tab w:leader="none" w:pos="338"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items to reconcile to fair value of plan assets represents a receivable from the Honeywell sponsored pension plan that is expected to transfer to the Honeywell Aerospace sponsored pension plan in 2027.</w:t>
      </w:r>
    </w:p>
    <w:p>
      <w:pPr>
        <w:spacing w:after="0" w:line="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enters into futures contracts to gain exposure to certain markets. Sufficient cash or cash equivalents are held by the Company's pension plans to cover the notional value of the futures contracts. As of the Spin-off, the Company's U.S. plans had fixed income futures contracts with a total notional amount of $1.5 billion.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Common stocks, real estate investment trusts, and short-term investments are valued at the closing price reported in the active market in which the individual securities are traded. Corporate bonds, mortgage/asset-backed securities, and government securities are valued either by using pricing models, bids provided by brokers or dealers, quoted prices of securities with similar characteristics, or discounted cash flows, and as such, include adjustments for certain risks that may not be observable such as credit and liquidity risks. Certain securities are held in collective trust funds which are valued using net asset values provided by the administrators of the funds. Investments in private equity, debt, real estate and hedge funds, and direct private investments are valued at estimated fair value based on quarterly financial information received from the investment advisor and/or general partner. Investments in real estate properties are valued on a quarterly basis using the income approach. Valuation estimates are periodically supplemented by third party appraisals.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Company's funding policy for qualified defined benefit pension plans is to contribute amounts at least sufficient to satisfy regulatory funding standards. The Company expects to make an immaterial amount of contributions for the Company’s U.S. plans in 2026.</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Benefit payments for the U.S. pension plans, including amounts to be paid from Company assets, and reflecting expected future service, as appropriate, are expected to be paid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60" w:type="dxa"/>
            <w:vAlign w:val="bottom"/>
            <w:tcBorders>
              <w:bottom w:val="single" w:sz="8" w:color="FF4400"/>
            </w:tcBorders>
          </w:tcPr>
          <w:p>
            <w:pPr>
              <w:ind w:left="20"/>
              <w:spacing w:after="0"/>
              <w:rPr>
                <w:sz w:val="20"/>
                <w:szCs w:val="20"/>
                <w:color w:val="auto"/>
              </w:rPr>
            </w:pPr>
            <w:r>
              <w:rPr>
                <w:rFonts w:ascii="Arial" w:cs="Arial" w:eastAsia="Arial" w:hAnsi="Arial"/>
                <w:sz w:val="14"/>
                <w:szCs w:val="14"/>
                <w:b w:val="1"/>
                <w:bCs w:val="1"/>
                <w:color w:val="auto"/>
              </w:rPr>
              <w:t>Twelve Months Ended</w:t>
            </w:r>
          </w:p>
        </w:tc>
        <w:tc>
          <w:tcPr>
            <w:tcW w:w="3640" w:type="dxa"/>
            <w:vAlign w:val="bottom"/>
            <w:tcBorders>
              <w:bottom w:val="single" w:sz="8" w:color="FF4400"/>
            </w:tcBorders>
          </w:tcPr>
          <w:p>
            <w:pPr>
              <w:spacing w:after="0"/>
              <w:rPr>
                <w:sz w:val="17"/>
                <w:szCs w:val="17"/>
                <w:color w:val="auto"/>
              </w:rPr>
            </w:pPr>
          </w:p>
        </w:tc>
        <w:tc>
          <w:tcPr>
            <w:tcW w:w="1440" w:type="dxa"/>
            <w:vAlign w:val="bottom"/>
            <w:tcBorders>
              <w:bottom w:val="single" w:sz="8" w:color="FF4400"/>
            </w:tcBorders>
          </w:tcPr>
          <w:p>
            <w:pPr>
              <w:jc w:val="right"/>
              <w:ind w:right="553"/>
              <w:spacing w:after="0"/>
              <w:rPr>
                <w:sz w:val="20"/>
                <w:szCs w:val="20"/>
                <w:color w:val="auto"/>
              </w:rPr>
            </w:pPr>
            <w:r>
              <w:rPr>
                <w:rFonts w:ascii="Arial" w:cs="Arial" w:eastAsia="Arial" w:hAnsi="Arial"/>
                <w:sz w:val="14"/>
                <w:szCs w:val="14"/>
                <w:b w:val="1"/>
                <w:bCs w:val="1"/>
                <w:color w:val="auto"/>
              </w:rPr>
              <w:t>Amount</w:t>
            </w:r>
          </w:p>
        </w:tc>
      </w:tr>
      <w:tr>
        <w:trPr>
          <w:trHeight w:val="224"/>
        </w:trPr>
        <w:tc>
          <w:tcPr>
            <w:tcW w:w="61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September 2027</w:t>
            </w:r>
          </w:p>
        </w:tc>
        <w:tc>
          <w:tcPr>
            <w:tcW w:w="3640" w:type="dxa"/>
            <w:vAlign w:val="bottom"/>
            <w:tcBorders>
              <w:bottom w:val="single" w:sz="8" w:color="BFBFBF"/>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729</w:t>
            </w:r>
          </w:p>
        </w:tc>
      </w:tr>
      <w:tr>
        <w:trPr>
          <w:trHeight w:val="223"/>
        </w:trPr>
        <w:tc>
          <w:tcPr>
            <w:tcW w:w="61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September 2028</w:t>
            </w:r>
          </w:p>
        </w:tc>
        <w:tc>
          <w:tcPr>
            <w:tcW w:w="3640" w:type="dxa"/>
            <w:vAlign w:val="bottom"/>
            <w:tcBorders>
              <w:bottom w:val="single" w:sz="8" w:color="BFBFBF"/>
            </w:tcBorders>
          </w:tcPr>
          <w:p>
            <w:pPr>
              <w:spacing w:after="0"/>
              <w:rPr>
                <w:sz w:val="19"/>
                <w:szCs w:val="19"/>
                <w:color w:val="auto"/>
              </w:rPr>
            </w:pPr>
          </w:p>
        </w:tc>
        <w:tc>
          <w:tcPr>
            <w:tcW w:w="14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681</w:t>
            </w:r>
          </w:p>
        </w:tc>
      </w:tr>
      <w:tr>
        <w:trPr>
          <w:trHeight w:val="223"/>
        </w:trPr>
        <w:tc>
          <w:tcPr>
            <w:tcW w:w="61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September 2029</w:t>
            </w:r>
          </w:p>
        </w:tc>
        <w:tc>
          <w:tcPr>
            <w:tcW w:w="3640" w:type="dxa"/>
            <w:vAlign w:val="bottom"/>
            <w:tcBorders>
              <w:bottom w:val="single" w:sz="8" w:color="BFBFBF"/>
            </w:tcBorders>
          </w:tcPr>
          <w:p>
            <w:pPr>
              <w:spacing w:after="0"/>
              <w:rPr>
                <w:sz w:val="19"/>
                <w:szCs w:val="19"/>
                <w:color w:val="auto"/>
              </w:rPr>
            </w:pPr>
          </w:p>
        </w:tc>
        <w:tc>
          <w:tcPr>
            <w:tcW w:w="14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638</w:t>
            </w:r>
          </w:p>
        </w:tc>
      </w:tr>
      <w:tr>
        <w:trPr>
          <w:trHeight w:val="223"/>
        </w:trPr>
        <w:tc>
          <w:tcPr>
            <w:tcW w:w="61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September 2030</w:t>
            </w:r>
          </w:p>
        </w:tc>
        <w:tc>
          <w:tcPr>
            <w:tcW w:w="3640" w:type="dxa"/>
            <w:vAlign w:val="bottom"/>
            <w:tcBorders>
              <w:bottom w:val="single" w:sz="8" w:color="BFBFBF"/>
            </w:tcBorders>
          </w:tcPr>
          <w:p>
            <w:pPr>
              <w:spacing w:after="0"/>
              <w:rPr>
                <w:sz w:val="19"/>
                <w:szCs w:val="19"/>
                <w:color w:val="auto"/>
              </w:rPr>
            </w:pPr>
          </w:p>
        </w:tc>
        <w:tc>
          <w:tcPr>
            <w:tcW w:w="14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601</w:t>
            </w:r>
          </w:p>
        </w:tc>
      </w:tr>
      <w:tr>
        <w:trPr>
          <w:trHeight w:val="223"/>
        </w:trPr>
        <w:tc>
          <w:tcPr>
            <w:tcW w:w="61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September 2031</w:t>
            </w:r>
          </w:p>
        </w:tc>
        <w:tc>
          <w:tcPr>
            <w:tcW w:w="3640" w:type="dxa"/>
            <w:vAlign w:val="bottom"/>
            <w:tcBorders>
              <w:bottom w:val="single" w:sz="8" w:color="BFBFBF"/>
            </w:tcBorders>
          </w:tcPr>
          <w:p>
            <w:pPr>
              <w:spacing w:after="0"/>
              <w:rPr>
                <w:sz w:val="19"/>
                <w:szCs w:val="19"/>
                <w:color w:val="auto"/>
              </w:rPr>
            </w:pPr>
          </w:p>
        </w:tc>
        <w:tc>
          <w:tcPr>
            <w:tcW w:w="14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569</w:t>
            </w:r>
          </w:p>
        </w:tc>
      </w:tr>
      <w:tr>
        <w:trPr>
          <w:trHeight w:val="223"/>
        </w:trPr>
        <w:tc>
          <w:tcPr>
            <w:tcW w:w="61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Thereafter through September 2036</w:t>
            </w:r>
          </w:p>
        </w:tc>
        <w:tc>
          <w:tcPr>
            <w:tcW w:w="3640" w:type="dxa"/>
            <w:vAlign w:val="bottom"/>
            <w:tcBorders>
              <w:bottom w:val="single" w:sz="8" w:color="BFBFBF"/>
            </w:tcBorders>
          </w:tcPr>
          <w:p>
            <w:pPr>
              <w:spacing w:after="0"/>
              <w:rPr>
                <w:sz w:val="19"/>
                <w:szCs w:val="19"/>
                <w:color w:val="auto"/>
              </w:rPr>
            </w:pPr>
          </w:p>
        </w:tc>
        <w:tc>
          <w:tcPr>
            <w:tcW w:w="14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2,416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subject to various federal, state, local, and foreign government requirements relating to the protection of the environment. Liabilities for environmental matters are recorded when remedial efforts or damage claim payments are probable and the costs can be reasonably estimated. Such liabilities are based on the Company’s estimate of the undiscounted future costs required to complete the remedial work or resolve matters. There can sometimes be a range of reasonable estimates, and in these cases, the Company uses the amount within the range that is its best estimate. If no amount within the range appears to be a better estimate than any other, it uses the amount that is the low end of such range. We regularly assess the amount of our accruals as remediation efforts progress, or as additional technical, regulatory, or legal information becomes available (including as a result of emerging abilities to analyze relevant data), or to align with industry norms (including as a result of our separation). This ongoing review may result in periodic adjustments to our accruals for environmental liabilities (including as a result of known or unknown liabilities becoming both probable and estimable).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the Company’s recorded liabilities: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60" w:type="dxa"/>
            <w:vAlign w:val="bottom"/>
            <w:tcBorders>
              <w:top w:val="single" w:sz="8" w:color="FF4400"/>
              <w:bottom w:val="single" w:sz="8" w:color="384348"/>
            </w:tcBorders>
          </w:tcPr>
          <w:p>
            <w:pPr>
              <w:ind w:left="20"/>
              <w:spacing w:after="0"/>
              <w:rPr>
                <w:sz w:val="20"/>
                <w:szCs w:val="20"/>
                <w:color w:val="auto"/>
              </w:rPr>
            </w:pPr>
            <w:r>
              <w:rPr>
                <w:rFonts w:ascii="Arial" w:cs="Arial" w:eastAsia="Arial" w:hAnsi="Arial"/>
                <w:sz w:val="18"/>
                <w:szCs w:val="18"/>
                <w:b w:val="1"/>
                <w:bCs w:val="1"/>
                <w:color w:val="auto"/>
              </w:rPr>
              <w:t>Balance as of December 31, 2025</w:t>
            </w:r>
          </w:p>
        </w:tc>
        <w:tc>
          <w:tcPr>
            <w:tcW w:w="860" w:type="dxa"/>
            <w:vAlign w:val="bottom"/>
            <w:tcBorders>
              <w:top w:val="single" w:sz="8" w:color="FF4400"/>
              <w:bottom w:val="single" w:sz="8" w:color="384348"/>
            </w:tcBorders>
          </w:tcPr>
          <w:p>
            <w:pPr>
              <w:spacing w:after="0"/>
              <w:rPr>
                <w:sz w:val="21"/>
                <w:szCs w:val="21"/>
                <w:color w:val="auto"/>
              </w:rPr>
            </w:pPr>
          </w:p>
        </w:tc>
        <w:tc>
          <w:tcPr>
            <w:tcW w:w="1640" w:type="dxa"/>
            <w:vAlign w:val="bottom"/>
            <w:tcBorders>
              <w:top w:val="single" w:sz="8" w:color="FF4400"/>
              <w:bottom w:val="single" w:sz="8" w:color="384348"/>
            </w:tcBorders>
          </w:tcPr>
          <w:p>
            <w:pPr>
              <w:spacing w:after="0"/>
              <w:rPr>
                <w:sz w:val="21"/>
                <w:szCs w:val="21"/>
                <w:color w:val="auto"/>
              </w:rPr>
            </w:pPr>
          </w:p>
        </w:tc>
        <w:tc>
          <w:tcPr>
            <w:tcW w:w="300" w:type="dxa"/>
            <w:vAlign w:val="bottom"/>
            <w:tcBorders>
              <w:top w:val="single" w:sz="8" w:color="FF4400"/>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top w:val="single" w:sz="8" w:color="FF4400"/>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823</w:t>
            </w:r>
          </w:p>
        </w:tc>
      </w:tr>
      <w:tr>
        <w:trPr>
          <w:trHeight w:val="223"/>
        </w:trPr>
        <w:tc>
          <w:tcPr>
            <w:tcW w:w="7620" w:type="dxa"/>
            <w:vAlign w:val="bottom"/>
            <w:tcBorders>
              <w:bottom w:val="single" w:sz="8" w:color="BFBFBF"/>
            </w:tcBorders>
            <w:gridSpan w:val="2"/>
          </w:tcPr>
          <w:p>
            <w:pPr>
              <w:ind w:left="260"/>
              <w:spacing w:after="0"/>
              <w:rPr>
                <w:sz w:val="20"/>
                <w:szCs w:val="20"/>
                <w:color w:val="auto"/>
              </w:rPr>
            </w:pPr>
            <w:r>
              <w:rPr>
                <w:rFonts w:ascii="Arial" w:cs="Arial" w:eastAsia="Arial" w:hAnsi="Arial"/>
                <w:sz w:val="18"/>
                <w:szCs w:val="18"/>
                <w:color w:val="auto"/>
              </w:rPr>
              <w:t>Changes to accruals for environmental matters deemed probable and reasonably estimable:</w:t>
            </w:r>
          </w:p>
        </w:tc>
        <w:tc>
          <w:tcPr>
            <w:tcW w:w="1640" w:type="dxa"/>
            <w:vAlign w:val="bottom"/>
            <w:tcBorders>
              <w:bottom w:val="single" w:sz="8" w:color="BFBFBF"/>
            </w:tcBorders>
          </w:tcPr>
          <w:p>
            <w:pPr>
              <w:spacing w:after="0"/>
              <w:rPr>
                <w:sz w:val="19"/>
                <w:szCs w:val="19"/>
                <w:color w:val="auto"/>
              </w:rPr>
            </w:pPr>
          </w:p>
        </w:tc>
        <w:tc>
          <w:tcPr>
            <w:tcW w:w="300" w:type="dxa"/>
            <w:vAlign w:val="bottom"/>
            <w:tcBorders>
              <w:bottom w:val="single" w:sz="8" w:color="BFBFBF"/>
            </w:tcBorders>
          </w:tcPr>
          <w:p>
            <w:pPr>
              <w:spacing w:after="0"/>
              <w:rPr>
                <w:sz w:val="19"/>
                <w:szCs w:val="19"/>
                <w:color w:val="auto"/>
              </w:rPr>
            </w:pPr>
          </w:p>
        </w:tc>
        <w:tc>
          <w:tcPr>
            <w:tcW w:w="1680" w:type="dxa"/>
            <w:vAlign w:val="bottom"/>
            <w:tcBorders>
              <w:bottom w:val="single" w:sz="8" w:color="BFBFBF"/>
            </w:tcBorders>
          </w:tcPr>
          <w:p>
            <w:pPr>
              <w:spacing w:after="0"/>
              <w:rPr>
                <w:sz w:val="19"/>
                <w:szCs w:val="19"/>
                <w:color w:val="auto"/>
              </w:rPr>
            </w:pPr>
          </w:p>
        </w:tc>
      </w:tr>
      <w:tr>
        <w:trPr>
          <w:trHeight w:val="223"/>
        </w:trPr>
        <w:tc>
          <w:tcPr>
            <w:tcW w:w="9260" w:type="dxa"/>
            <w:vAlign w:val="bottom"/>
            <w:tcBorders>
              <w:bottom w:val="single" w:sz="8" w:color="BFBFBF"/>
            </w:tcBorders>
            <w:gridSpan w:val="3"/>
          </w:tcPr>
          <w:p>
            <w:pPr>
              <w:ind w:left="600"/>
              <w:spacing w:after="0"/>
              <w:rPr>
                <w:sz w:val="20"/>
                <w:szCs w:val="20"/>
                <w:color w:val="auto"/>
              </w:rPr>
            </w:pPr>
            <w:r>
              <w:rPr>
                <w:rFonts w:ascii="Arial" w:cs="Arial" w:eastAsia="Arial" w:hAnsi="Arial"/>
                <w:sz w:val="18"/>
                <w:szCs w:val="18"/>
                <w:color w:val="auto"/>
              </w:rPr>
              <w:t>Related to current or former Company sites, recorded in Cost of products and services sold</w:t>
            </w:r>
          </w:p>
        </w:tc>
        <w:tc>
          <w:tcPr>
            <w:tcW w:w="300" w:type="dxa"/>
            <w:vAlign w:val="bottom"/>
            <w:tcBorders>
              <w:bottom w:val="single" w:sz="8" w:color="BFBFBF"/>
            </w:tcBorders>
          </w:tcPr>
          <w:p>
            <w:pPr>
              <w:spacing w:after="0"/>
              <w:rPr>
                <w:sz w:val="19"/>
                <w:szCs w:val="19"/>
                <w:color w:val="auto"/>
              </w:rPr>
            </w:pPr>
          </w:p>
        </w:tc>
        <w:tc>
          <w:tcPr>
            <w:tcW w:w="16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620" w:type="dxa"/>
            <w:vAlign w:val="bottom"/>
            <w:tcBorders>
              <w:bottom w:val="single" w:sz="8" w:color="BFBFBF"/>
            </w:tcBorders>
            <w:gridSpan w:val="2"/>
          </w:tcPr>
          <w:p>
            <w:pPr>
              <w:ind w:left="600"/>
              <w:spacing w:after="0"/>
              <w:rPr>
                <w:sz w:val="20"/>
                <w:szCs w:val="20"/>
                <w:color w:val="auto"/>
              </w:rPr>
            </w:pPr>
            <w:r>
              <w:rPr>
                <w:rFonts w:ascii="Arial" w:cs="Arial" w:eastAsia="Arial" w:hAnsi="Arial"/>
                <w:sz w:val="18"/>
                <w:szCs w:val="18"/>
                <w:color w:val="auto"/>
              </w:rPr>
              <w:t>Unrelated to current or former Company sites, recorded in Other (income) expense, net</w:t>
            </w:r>
          </w:p>
        </w:tc>
        <w:tc>
          <w:tcPr>
            <w:tcW w:w="1640" w:type="dxa"/>
            <w:vAlign w:val="bottom"/>
            <w:tcBorders>
              <w:bottom w:val="single" w:sz="8" w:color="BFBFBF"/>
            </w:tcBorders>
          </w:tcPr>
          <w:p>
            <w:pPr>
              <w:spacing w:after="0"/>
              <w:rPr>
                <w:sz w:val="19"/>
                <w:szCs w:val="19"/>
                <w:color w:val="auto"/>
              </w:rPr>
            </w:pPr>
          </w:p>
        </w:tc>
        <w:tc>
          <w:tcPr>
            <w:tcW w:w="300" w:type="dxa"/>
            <w:vAlign w:val="bottom"/>
            <w:tcBorders>
              <w:bottom w:val="single" w:sz="8" w:color="BFBFBF"/>
            </w:tcBorders>
          </w:tcPr>
          <w:p>
            <w:pPr>
              <w:spacing w:after="0"/>
              <w:rPr>
                <w:sz w:val="19"/>
                <w:szCs w:val="19"/>
                <w:color w:val="auto"/>
              </w:rPr>
            </w:pPr>
          </w:p>
        </w:tc>
        <w:tc>
          <w:tcPr>
            <w:tcW w:w="16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676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Environmental liability payments, net</w:t>
            </w:r>
          </w:p>
        </w:tc>
        <w:tc>
          <w:tcPr>
            <w:tcW w:w="860" w:type="dxa"/>
            <w:vAlign w:val="bottom"/>
            <w:tcBorders>
              <w:bottom w:val="single" w:sz="8" w:color="384348"/>
            </w:tcBorders>
          </w:tcPr>
          <w:p>
            <w:pPr>
              <w:spacing w:after="0"/>
              <w:rPr>
                <w:sz w:val="19"/>
                <w:szCs w:val="19"/>
                <w:color w:val="auto"/>
              </w:rPr>
            </w:pPr>
          </w:p>
        </w:tc>
        <w:tc>
          <w:tcPr>
            <w:tcW w:w="1640" w:type="dxa"/>
            <w:vAlign w:val="bottom"/>
            <w:tcBorders>
              <w:bottom w:val="single" w:sz="8" w:color="384348"/>
            </w:tcBorders>
          </w:tcPr>
          <w:p>
            <w:pPr>
              <w:spacing w:after="0"/>
              <w:rPr>
                <w:sz w:val="19"/>
                <w:szCs w:val="19"/>
                <w:color w:val="auto"/>
              </w:rPr>
            </w:pPr>
          </w:p>
        </w:tc>
        <w:tc>
          <w:tcPr>
            <w:tcW w:w="300" w:type="dxa"/>
            <w:vAlign w:val="bottom"/>
            <w:tcBorders>
              <w:bottom w:val="single" w:sz="8" w:color="384348"/>
            </w:tcBorders>
          </w:tcPr>
          <w:p>
            <w:pPr>
              <w:spacing w:after="0"/>
              <w:rPr>
                <w:sz w:val="19"/>
                <w:szCs w:val="19"/>
                <w:color w:val="auto"/>
              </w:rPr>
            </w:pPr>
          </w:p>
        </w:tc>
        <w:tc>
          <w:tcPr>
            <w:tcW w:w="16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676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Balance as of September 26, 2026</w:t>
            </w:r>
          </w:p>
        </w:tc>
        <w:tc>
          <w:tcPr>
            <w:tcW w:w="860" w:type="dxa"/>
            <w:vAlign w:val="bottom"/>
            <w:tcBorders>
              <w:bottom w:val="single" w:sz="8" w:color="384348"/>
            </w:tcBorders>
          </w:tcPr>
          <w:p>
            <w:pPr>
              <w:spacing w:after="0"/>
              <w:rPr>
                <w:sz w:val="19"/>
                <w:szCs w:val="19"/>
                <w:color w:val="auto"/>
              </w:rPr>
            </w:pPr>
          </w:p>
        </w:tc>
        <w:tc>
          <w:tcPr>
            <w:tcW w:w="1640" w:type="dxa"/>
            <w:vAlign w:val="bottom"/>
            <w:tcBorders>
              <w:bottom w:val="single" w:sz="8" w:color="384348"/>
            </w:tcBorders>
          </w:tcPr>
          <w:p>
            <w:pPr>
              <w:spacing w:after="0"/>
              <w:rPr>
                <w:sz w:val="19"/>
                <w:szCs w:val="19"/>
                <w:color w:val="auto"/>
              </w:rPr>
            </w:pPr>
          </w:p>
        </w:tc>
        <w:tc>
          <w:tcPr>
            <w:tcW w:w="30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815</w:t>
            </w:r>
          </w:p>
        </w:tc>
      </w:tr>
      <w:tr>
        <w:trPr>
          <w:trHeight w:val="456"/>
        </w:trPr>
        <w:tc>
          <w:tcPr>
            <w:tcW w:w="6760" w:type="dxa"/>
            <w:vAlign w:val="bottom"/>
          </w:tcPr>
          <w:p>
            <w:pPr>
              <w:spacing w:after="0"/>
              <w:rPr>
                <w:sz w:val="20"/>
                <w:szCs w:val="20"/>
                <w:color w:val="auto"/>
              </w:rPr>
            </w:pPr>
            <w:r>
              <w:rPr>
                <w:rFonts w:ascii="Arial" w:cs="Arial" w:eastAsia="Arial" w:hAnsi="Arial"/>
                <w:sz w:val="18"/>
                <w:szCs w:val="18"/>
                <w:color w:val="auto"/>
              </w:rPr>
              <w:t>Environmental liabilities are included in the following balance sheet accounts:</w:t>
            </w: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87"/>
        </w:trPr>
        <w:tc>
          <w:tcPr>
            <w:tcW w:w="6760" w:type="dxa"/>
            <w:vAlign w:val="bottom"/>
            <w:tcBorders>
              <w:bottom w:val="single" w:sz="8" w:color="FF4400"/>
            </w:tcBorders>
          </w:tcPr>
          <w:p>
            <w:pPr>
              <w:spacing w:after="0"/>
              <w:rPr>
                <w:sz w:val="24"/>
                <w:szCs w:val="24"/>
                <w:color w:val="auto"/>
              </w:rPr>
            </w:pPr>
          </w:p>
        </w:tc>
        <w:tc>
          <w:tcPr>
            <w:tcW w:w="860" w:type="dxa"/>
            <w:vAlign w:val="bottom"/>
            <w:tcBorders>
              <w:bottom w:val="single" w:sz="8" w:color="FF4400"/>
            </w:tcBorders>
          </w:tcPr>
          <w:p>
            <w:pPr>
              <w:spacing w:after="0"/>
              <w:rPr>
                <w:sz w:val="24"/>
                <w:szCs w:val="24"/>
                <w:color w:val="auto"/>
              </w:rPr>
            </w:pPr>
          </w:p>
        </w:tc>
        <w:tc>
          <w:tcPr>
            <w:tcW w:w="1640" w:type="dxa"/>
            <w:vAlign w:val="bottom"/>
            <w:tcBorders>
              <w:bottom w:val="single" w:sz="8" w:color="FF4400"/>
            </w:tcBorders>
          </w:tcPr>
          <w:p>
            <w:pPr>
              <w:jc w:val="right"/>
              <w:ind w:right="195"/>
              <w:spacing w:after="0"/>
              <w:rPr>
                <w:sz w:val="20"/>
                <w:szCs w:val="20"/>
                <w:color w:val="auto"/>
              </w:rPr>
            </w:pPr>
            <w:r>
              <w:rPr>
                <w:rFonts w:ascii="Arial" w:cs="Arial" w:eastAsia="Arial" w:hAnsi="Arial"/>
                <w:sz w:val="14"/>
                <w:szCs w:val="14"/>
                <w:b w:val="1"/>
                <w:bCs w:val="1"/>
                <w:color w:val="auto"/>
              </w:rPr>
              <w:t>September 26, 2026</w:t>
            </w:r>
          </w:p>
        </w:tc>
        <w:tc>
          <w:tcPr>
            <w:tcW w:w="300" w:type="dxa"/>
            <w:vAlign w:val="bottom"/>
            <w:tcBorders>
              <w:bottom w:val="single" w:sz="8" w:color="FF4400"/>
            </w:tcBorders>
          </w:tcPr>
          <w:p>
            <w:pPr>
              <w:spacing w:after="0"/>
              <w:rPr>
                <w:sz w:val="24"/>
                <w:szCs w:val="24"/>
                <w:color w:val="auto"/>
              </w:rPr>
            </w:pPr>
          </w:p>
        </w:tc>
        <w:tc>
          <w:tcPr>
            <w:tcW w:w="1680" w:type="dxa"/>
            <w:vAlign w:val="bottom"/>
            <w:tcBorders>
              <w:bottom w:val="single" w:sz="8" w:color="FF4400"/>
            </w:tcBorders>
          </w:tcPr>
          <w:p>
            <w:pPr>
              <w:jc w:val="right"/>
              <w:ind w:right="212"/>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676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Accrued liabilities</w:t>
            </w:r>
          </w:p>
        </w:tc>
        <w:tc>
          <w:tcPr>
            <w:tcW w:w="860" w:type="dxa"/>
            <w:vAlign w:val="bottom"/>
            <w:tcBorders>
              <w:bottom w:val="single" w:sz="8" w:color="BFBFBF"/>
            </w:tcBorders>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676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384348"/>
            </w:tcBorders>
          </w:tcPr>
          <w:p>
            <w:pPr>
              <w:spacing w:after="0"/>
              <w:rPr>
                <w:sz w:val="19"/>
                <w:szCs w:val="19"/>
                <w:color w:val="auto"/>
              </w:rPr>
            </w:pPr>
          </w:p>
        </w:tc>
        <w:tc>
          <w:tcPr>
            <w:tcW w:w="16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642</w:t>
            </w:r>
          </w:p>
        </w:tc>
        <w:tc>
          <w:tcPr>
            <w:tcW w:w="300" w:type="dxa"/>
            <w:vAlign w:val="bottom"/>
            <w:tcBorders>
              <w:bottom w:val="single" w:sz="8" w:color="384348"/>
            </w:tcBorders>
          </w:tcPr>
          <w:p>
            <w:pPr>
              <w:spacing w:after="0"/>
              <w:rPr>
                <w:sz w:val="19"/>
                <w:szCs w:val="19"/>
                <w:color w:val="auto"/>
              </w:rPr>
            </w:pPr>
          </w:p>
        </w:tc>
        <w:tc>
          <w:tcPr>
            <w:tcW w:w="16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649</w:t>
            </w:r>
          </w:p>
        </w:tc>
      </w:tr>
      <w:tr>
        <w:trPr>
          <w:trHeight w:val="223"/>
        </w:trPr>
        <w:tc>
          <w:tcPr>
            <w:tcW w:w="676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Total environmental liabilities</w:t>
            </w:r>
          </w:p>
        </w:tc>
        <w:tc>
          <w:tcPr>
            <w:tcW w:w="860" w:type="dxa"/>
            <w:vAlign w:val="bottom"/>
            <w:tcBorders>
              <w:bottom w:val="single" w:sz="8" w:color="384348"/>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815</w:t>
            </w:r>
          </w:p>
        </w:tc>
        <w:tc>
          <w:tcPr>
            <w:tcW w:w="30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amounts accrued above, the Company has estimated that additional losses from environmental matters are reasonably possible. These reasonably possible losses, if they were to be incurred, could result in the Company's aggregate environmental liability being approximately two to three times higher than the currently recorded accruals, with potential payments extending beyond two decades. The Company's ultimate exposure may differ materially from current estimates, and it is possible that environmental liabilities could be material to the Company’s consolidated results of operations and operating cash flows in the periods recognized or paid. Further, the Company’s ongoing review of its environmental liabilities could result in changes to its accruals that could be material in the near term.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Matters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Paradigm Powerboats, Inc. and Turbine Marine Inc. v. Honeywell International Inc.</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2023, Paradigm Powerboats, Inc. and Turbine Marine Inc. filed an action against Honeywell in the U.S. District Court for the District of Arizona. The Company assumed liability for this matter in connection with the Spin-off. The complaint alleges misappropriation of confidential information and trade secrets concerning proposed T-55 engine applications in the oil and gas industry, breach of a confidentiality agreement, and related claims. Plaintiffs seek compensatory, exemplary, and punitive damages; attorneys’ fees; and other relief. A jury trial was scheduled for November 3, 2026, though a short continuance may be granted. The Company disputes the claims and intends to defend them vigorously. The Company cannot presently reasonably estimate a possible loss or range of loss, if any.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Flexjet v. Honeywell International Inc.</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Flexjet, LLC (“Flexjet”) provides private jet services to customers. The Company maintains aircraft engine maintenance service contracts with Flexjet. During the COVID-19 pandemic, a customer dispute arose over delayed engine deliveries and specified engine enrollments under these maintenance service contracts. In 2021, Honeywell notified Flexjet that it was invoking force majeure provisions in response to the pandemic. On March 1, 2023, Flexjet brought suit against Honeywell, alleging breach of the parties’ aircraft engine maintenance service agreement (the “MSA”), seeking liquidated damages for delayed engine repairs, and claiming that its liquidated damages continue to accrue monthly related to engines awaiting repair. Additionally, two third-party aircraft repair and services companies, Duncan Aviation, Inc. (“Duncan”) and StandardAero Business Aviation Services, LLC (“StandardAero”) each sued Flexjet for amounts allegedly owed for services provided, and Flexjet filed third-party complaints in those cases on January 10, 2025 and June 10, 2025, respectively, purporting to join the Company as a third-party defendant.</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Company recorded accruals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with respect to the Flexjet-related matters. In December 2025, Honeywell announced it was in ongoing settlement negotiations with Flexjet and the other parties to the litigation matters.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16, 2026, Honeywell completed a comprehensive settlement relating to its lawsuit with Flexjet. As part of this comprehensive settlement, Honeywell entered into settlement agreements with Duncan, StandardAero, and Flexjet. As of January 21, 2026, each of these cases has been dismissed. These settlements resolve all legal disputes among the parties arising out of the alleged breach of the MSA.</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connection with these settlements, the Company paid $59 million in December 2025 associated with the Duncan and StandardAero settlements. The Company paid $375 million in the first quarter of 2026 associated with a settlement payment to Flexjet.</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Contemporaneous with Honeywell’s entry into the settlement agreement with Flexjet, Flexjet and Honeywell amended the MSA to extend the term through 2035.</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Green v. Honeywell Aerospace Inc.</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On September 22, 2026, a putative securities class action captioned </w:t>
      </w:r>
      <w:r>
        <w:rPr>
          <w:rFonts w:ascii="Arial" w:cs="Arial" w:eastAsia="Arial" w:hAnsi="Arial"/>
          <w:sz w:val="18"/>
          <w:szCs w:val="18"/>
          <w:i w:val="1"/>
          <w:iCs w:val="1"/>
          <w:color w:val="auto"/>
        </w:rPr>
        <w:t>Green v. Honeywell Aerospace Inc., et al.</w:t>
      </w:r>
      <w:r>
        <w:rPr>
          <w:rFonts w:ascii="Arial" w:cs="Arial" w:eastAsia="Arial" w:hAnsi="Arial"/>
          <w:sz w:val="18"/>
          <w:szCs w:val="18"/>
          <w:color w:val="auto"/>
        </w:rPr>
        <w:t xml:space="preserve"> was filed in the United States District Court for the District of Arizona against the Company and its Chief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Executive Officer and Chief Financial Officer. The complaint purports to be brought on behalf of purchasers of the Company’s common stock between June 29, 2026 and September 1, 2026 and alleges violations of Sections 10(b) and 20(a) of the Securities Exchange Act of 1934 and Rule 10b-5 relating to certain public statements concerning the Company’s supply chain, financial outlook, and a cybersecurity-related government matter. The complaint seeks unspecified damages, attorneys’ fees, and other relief. No lead plaintiff has been appointed, and no class has been certified. The action is at an early stage, and the Company cannot presently reasonably estimate a possible loss or range of loss, if 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subject to a number of other lawsuits, investigations, and claims (some of which involve large dollar amounts) arising out of the conduct of its business operations, including matters relating to commercial transactions, the integration of emerging technologies (such as, but not limited to, artificial intelligence and machine learning), employment, intellectual property, legal, and environmental, health, and safety matters. The Company recognizes liabilities for any contingency that is probable of occurrence and reasonably estimable. The Company routinely assesses the likelihood of adverse judgments or outcomes in such matters, as well as potential ranges of probable losses (taking into consideration the likelihood of any insurance recoveries), based on a careful analysis of each matter, and if appropriate, with the assistance of outside legal counsel and other experts.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Given the uncertainty inherent in litigation and investigations, the Company cannot predict when or how these matters will be resolved. For certain matters described above, the Company is unable to estimate a reasonably possible loss or range of loss in excess of current accruals, if any. For other commitment and contingency matters, and considering the Company's past experience and existing accruals as of the date of these financial statements,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(including new discovery of facts, changes in legislation, and outcomes of similar cases through the judicial system), changes in assumptions, changes in settlement strategy, or the impact of evidentiary requirements, any of which could cause or require the Company to pay damage awards or settlements (or become subject to equitable remedies) that could have a material adverse effect on the Company’s consolidated results of operations or operating cash flows in the periods recognized or paid.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Financial Data</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manages its global business operations through three operating segments, each of which also qualifies as a reportable segment. Segment information is consistent with how the President and Chief Executive Officer of the Company, who is the Chief Operating Decision Maker (“CODM”), reviews the Company’s business, makes investing and resource allocation decisions, and assesses operating performance.</w:t>
      </w:r>
    </w:p>
    <w:p>
      <w:pPr>
        <w:spacing w:after="0" w:line="10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Segment profit and Segment adjusted EBIT are measures of segment profitability used by the CODM, and Segment profit is the measure most consistent with amounts included in the Condensed Consolidated Financial Statements. The CODM evaluates segment performance based on Segment profit, by comparing budget-to-actual and period-over-period results. Each Segment’s profit excludes taxes, interest, amortization of acquisition-related intangibles, stock compensation expense, environmental expense, pension (income) expense, repositioning and other charges, transaction costs, expenses associated with the Honeywell trademark license, and other items within Other (income) expense, net. Transaction costs consist of professional advisory services fees related to the Spin-off.</w:t>
      </w:r>
    </w:p>
    <w:p>
      <w:pPr>
        <w:spacing w:after="0" w:line="1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does not report asset information by segment for internal or external reporting purposes as the Company’s CODM does not assess performance, make strategic decisions, or allocate resources based on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below table summarizes information about significant segment net sales and expenses and other segment items, for each historical period: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40" w:type="dxa"/>
            <w:vAlign w:val="bottom"/>
          </w:tcPr>
          <w:p>
            <w:pPr>
              <w:spacing w:after="0"/>
              <w:rPr>
                <w:sz w:val="17"/>
                <w:szCs w:val="17"/>
                <w:color w:val="auto"/>
              </w:rPr>
            </w:pPr>
          </w:p>
        </w:tc>
        <w:tc>
          <w:tcPr>
            <w:tcW w:w="500" w:type="dxa"/>
            <w:vAlign w:val="bottom"/>
            <w:tcBorders>
              <w:bottom w:val="single" w:sz="8" w:color="FF4400"/>
            </w:tcBorders>
          </w:tcPr>
          <w:p>
            <w:pPr>
              <w:spacing w:after="0"/>
              <w:rPr>
                <w:sz w:val="17"/>
                <w:szCs w:val="17"/>
                <w:color w:val="auto"/>
              </w:rPr>
            </w:pPr>
          </w:p>
        </w:tc>
        <w:tc>
          <w:tcPr>
            <w:tcW w:w="980" w:type="dxa"/>
            <w:vAlign w:val="bottom"/>
            <w:tcBorders>
              <w:bottom w:val="single" w:sz="8" w:color="FF4400"/>
            </w:tcBorders>
          </w:tcPr>
          <w:p>
            <w:pPr>
              <w:spacing w:after="0"/>
              <w:rPr>
                <w:sz w:val="17"/>
                <w:szCs w:val="17"/>
                <w:color w:val="auto"/>
              </w:rPr>
            </w:pPr>
          </w:p>
        </w:tc>
        <w:tc>
          <w:tcPr>
            <w:tcW w:w="160" w:type="dxa"/>
            <w:vAlign w:val="bottom"/>
            <w:tcBorders>
              <w:bottom w:val="single" w:sz="8" w:color="FF4400"/>
            </w:tcBorders>
          </w:tcPr>
          <w:p>
            <w:pPr>
              <w:spacing w:after="0"/>
              <w:rPr>
                <w:sz w:val="17"/>
                <w:szCs w:val="17"/>
                <w:color w:val="auto"/>
              </w:rPr>
            </w:pPr>
          </w:p>
        </w:tc>
        <w:tc>
          <w:tcPr>
            <w:tcW w:w="3900" w:type="dxa"/>
            <w:vAlign w:val="bottom"/>
            <w:tcBorders>
              <w:bottom w:val="single" w:sz="8" w:color="FF4400"/>
            </w:tcBorders>
            <w:gridSpan w:val="4"/>
          </w:tcPr>
          <w:p>
            <w:pPr>
              <w:jc w:val="right"/>
              <w:ind w:right="299"/>
              <w:spacing w:after="0"/>
              <w:rPr>
                <w:sz w:val="20"/>
                <w:szCs w:val="20"/>
                <w:color w:val="auto"/>
              </w:rPr>
            </w:pPr>
            <w:r>
              <w:rPr>
                <w:rFonts w:ascii="Arial" w:cs="Arial" w:eastAsia="Arial" w:hAnsi="Arial"/>
                <w:sz w:val="14"/>
                <w:szCs w:val="14"/>
                <w:b w:val="1"/>
                <w:bCs w:val="1"/>
                <w:color w:val="auto"/>
              </w:rPr>
              <w:t>Three Months Ended September 26, 2026</w:t>
            </w:r>
          </w:p>
        </w:tc>
        <w:tc>
          <w:tcPr>
            <w:tcW w:w="480" w:type="dxa"/>
            <w:vAlign w:val="bottom"/>
            <w:tcBorders>
              <w:bottom w:val="single" w:sz="8" w:color="FF4400"/>
            </w:tcBorders>
          </w:tcPr>
          <w:p>
            <w:pPr>
              <w:spacing w:after="0"/>
              <w:rPr>
                <w:sz w:val="17"/>
                <w:szCs w:val="17"/>
                <w:color w:val="auto"/>
              </w:rPr>
            </w:pPr>
          </w:p>
        </w:tc>
        <w:tc>
          <w:tcPr>
            <w:tcW w:w="380" w:type="dxa"/>
            <w:vAlign w:val="bottom"/>
            <w:tcBorders>
              <w:bottom w:val="single" w:sz="8" w:color="FF4400"/>
            </w:tcBorders>
          </w:tcPr>
          <w:p>
            <w:pPr>
              <w:spacing w:after="0"/>
              <w:rPr>
                <w:sz w:val="17"/>
                <w:szCs w:val="17"/>
                <w:color w:val="auto"/>
              </w:rPr>
            </w:pPr>
          </w:p>
        </w:tc>
        <w:tc>
          <w:tcPr>
            <w:tcW w:w="1100" w:type="dxa"/>
            <w:vAlign w:val="bottom"/>
            <w:tcBorders>
              <w:bottom w:val="single" w:sz="8" w:color="FF4400"/>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74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Electronic Solutions</w:t>
            </w:r>
          </w:p>
        </w:tc>
        <w:tc>
          <w:tcPr>
            <w:tcW w:w="160" w:type="dxa"/>
            <w:vAlign w:val="bottom"/>
          </w:tcPr>
          <w:p>
            <w:pPr>
              <w:spacing w:after="0"/>
              <w:rPr>
                <w:sz w:val="12"/>
                <w:szCs w:val="12"/>
                <w:color w:val="auto"/>
              </w:rPr>
            </w:pPr>
          </w:p>
        </w:tc>
        <w:tc>
          <w:tcPr>
            <w:tcW w:w="1320" w:type="dxa"/>
            <w:vAlign w:val="bottom"/>
          </w:tcPr>
          <w:p>
            <w:pPr>
              <w:jc w:val="right"/>
              <w:ind w:right="57"/>
              <w:spacing w:after="0" w:line="147" w:lineRule="exact"/>
              <w:rPr>
                <w:sz w:val="20"/>
                <w:szCs w:val="20"/>
                <w:color w:val="auto"/>
              </w:rPr>
            </w:pPr>
            <w:r>
              <w:rPr>
                <w:rFonts w:ascii="Arial" w:cs="Arial" w:eastAsia="Arial" w:hAnsi="Arial"/>
                <w:sz w:val="14"/>
                <w:szCs w:val="14"/>
                <w:b w:val="1"/>
                <w:bCs w:val="1"/>
                <w:color w:val="auto"/>
              </w:rPr>
              <w:t>Engines &amp; Power</w:t>
            </w:r>
          </w:p>
        </w:tc>
        <w:tc>
          <w:tcPr>
            <w:tcW w:w="200" w:type="dxa"/>
            <w:vAlign w:val="bottom"/>
          </w:tcPr>
          <w:p>
            <w:pPr>
              <w:spacing w:after="0"/>
              <w:rPr>
                <w:sz w:val="12"/>
                <w:szCs w:val="12"/>
                <w:color w:val="auto"/>
              </w:rPr>
            </w:pPr>
          </w:p>
        </w:tc>
        <w:tc>
          <w:tcPr>
            <w:tcW w:w="13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Control Systems</w:t>
            </w:r>
          </w:p>
        </w:tc>
        <w:tc>
          <w:tcPr>
            <w:tcW w:w="156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Corporate and All</w:t>
            </w:r>
          </w:p>
        </w:tc>
        <w:tc>
          <w:tcPr>
            <w:tcW w:w="380" w:type="dxa"/>
            <w:vAlign w:val="bottom"/>
          </w:tcPr>
          <w:p>
            <w:pPr>
              <w:spacing w:after="0"/>
              <w:rPr>
                <w:sz w:val="12"/>
                <w:szCs w:val="12"/>
                <w:color w:val="auto"/>
              </w:rPr>
            </w:pPr>
          </w:p>
        </w:tc>
        <w:tc>
          <w:tcPr>
            <w:tcW w:w="110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FF4400"/>
            </w:tcBorders>
          </w:tcPr>
          <w:p>
            <w:pPr>
              <w:spacing w:after="0"/>
              <w:rPr>
                <w:sz w:val="16"/>
                <w:szCs w:val="16"/>
                <w:color w:val="auto"/>
              </w:rPr>
            </w:pPr>
          </w:p>
        </w:tc>
        <w:tc>
          <w:tcPr>
            <w:tcW w:w="1480" w:type="dxa"/>
            <w:vAlign w:val="bottom"/>
            <w:tcBorders>
              <w:bottom w:val="single" w:sz="8" w:color="FF4400"/>
            </w:tcBorders>
            <w:gridSpan w:val="2"/>
            <w:vMerge w:val="continue"/>
          </w:tcPr>
          <w:p>
            <w:pPr>
              <w:spacing w:after="0"/>
              <w:rPr>
                <w:sz w:val="16"/>
                <w:szCs w:val="16"/>
                <w:color w:val="auto"/>
              </w:rPr>
            </w:pPr>
          </w:p>
        </w:tc>
        <w:tc>
          <w:tcPr>
            <w:tcW w:w="160" w:type="dxa"/>
            <w:vAlign w:val="bottom"/>
            <w:tcBorders>
              <w:bottom w:val="single" w:sz="8" w:color="FF4400"/>
            </w:tcBorders>
          </w:tcPr>
          <w:p>
            <w:pPr>
              <w:spacing w:after="0"/>
              <w:rPr>
                <w:sz w:val="16"/>
                <w:szCs w:val="16"/>
                <w:color w:val="auto"/>
              </w:rPr>
            </w:pPr>
          </w:p>
        </w:tc>
        <w:tc>
          <w:tcPr>
            <w:tcW w:w="1320" w:type="dxa"/>
            <w:vAlign w:val="bottom"/>
            <w:tcBorders>
              <w:bottom w:val="single" w:sz="8" w:color="FF4400"/>
            </w:tcBorders>
          </w:tcPr>
          <w:p>
            <w:pPr>
              <w:jc w:val="right"/>
              <w:ind w:right="357"/>
              <w:spacing w:after="0"/>
              <w:rPr>
                <w:sz w:val="20"/>
                <w:szCs w:val="20"/>
                <w:color w:val="auto"/>
              </w:rPr>
            </w:pPr>
            <w:r>
              <w:rPr>
                <w:rFonts w:ascii="Arial" w:cs="Arial" w:eastAsia="Arial" w:hAnsi="Arial"/>
                <w:sz w:val="14"/>
                <w:szCs w:val="14"/>
                <w:b w:val="1"/>
                <w:bCs w:val="1"/>
                <w:color w:val="auto"/>
              </w:rPr>
              <w:t>Systems</w:t>
            </w:r>
          </w:p>
        </w:tc>
        <w:tc>
          <w:tcPr>
            <w:tcW w:w="200" w:type="dxa"/>
            <w:vAlign w:val="bottom"/>
            <w:tcBorders>
              <w:bottom w:val="single" w:sz="8" w:color="FF4400"/>
            </w:tcBorders>
          </w:tcPr>
          <w:p>
            <w:pPr>
              <w:spacing w:after="0"/>
              <w:rPr>
                <w:sz w:val="16"/>
                <w:szCs w:val="16"/>
                <w:color w:val="auto"/>
              </w:rPr>
            </w:pPr>
          </w:p>
        </w:tc>
        <w:tc>
          <w:tcPr>
            <w:tcW w:w="1300" w:type="dxa"/>
            <w:vAlign w:val="bottom"/>
            <w:tcBorders>
              <w:bottom w:val="single" w:sz="8" w:color="FF4400"/>
            </w:tcBorders>
            <w:vMerge w:val="continue"/>
          </w:tcPr>
          <w:p>
            <w:pPr>
              <w:spacing w:after="0"/>
              <w:rPr>
                <w:sz w:val="16"/>
                <w:szCs w:val="16"/>
                <w:color w:val="auto"/>
              </w:rPr>
            </w:pPr>
          </w:p>
        </w:tc>
        <w:tc>
          <w:tcPr>
            <w:tcW w:w="1080" w:type="dxa"/>
            <w:vAlign w:val="bottom"/>
            <w:tcBorders>
              <w:bottom w:val="single" w:sz="8" w:color="FF4400"/>
            </w:tcBorders>
          </w:tcPr>
          <w:p>
            <w:pPr>
              <w:jc w:val="right"/>
              <w:spacing w:after="0"/>
              <w:rPr>
                <w:sz w:val="20"/>
                <w:szCs w:val="20"/>
                <w:color w:val="auto"/>
              </w:rPr>
            </w:pPr>
            <w:r>
              <w:rPr>
                <w:rFonts w:ascii="Arial" w:cs="Arial" w:eastAsia="Arial" w:hAnsi="Arial"/>
                <w:sz w:val="14"/>
                <w:szCs w:val="14"/>
                <w:b w:val="1"/>
                <w:bCs w:val="1"/>
                <w:color w:val="auto"/>
              </w:rPr>
              <w:t>Other</w:t>
            </w:r>
          </w:p>
        </w:tc>
        <w:tc>
          <w:tcPr>
            <w:tcW w:w="480" w:type="dxa"/>
            <w:vAlign w:val="bottom"/>
            <w:tcBorders>
              <w:bottom w:val="single" w:sz="8" w:color="FF4400"/>
            </w:tcBorders>
          </w:tcPr>
          <w:p>
            <w:pPr>
              <w:spacing w:after="0"/>
              <w:rPr>
                <w:sz w:val="16"/>
                <w:szCs w:val="16"/>
                <w:color w:val="auto"/>
              </w:rPr>
            </w:pPr>
          </w:p>
        </w:tc>
        <w:tc>
          <w:tcPr>
            <w:tcW w:w="380" w:type="dxa"/>
            <w:vAlign w:val="bottom"/>
            <w:tcBorders>
              <w:bottom w:val="single" w:sz="8" w:color="FF4400"/>
            </w:tcBorders>
          </w:tcPr>
          <w:p>
            <w:pPr>
              <w:spacing w:after="0"/>
              <w:rPr>
                <w:sz w:val="16"/>
                <w:szCs w:val="16"/>
                <w:color w:val="auto"/>
              </w:rPr>
            </w:pPr>
          </w:p>
        </w:tc>
        <w:tc>
          <w:tcPr>
            <w:tcW w:w="1100" w:type="dxa"/>
            <w:vAlign w:val="bottom"/>
            <w:tcBorders>
              <w:bottom w:val="single" w:sz="8" w:color="FF440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BFBFBF"/>
            </w:tcBorders>
          </w:tcPr>
          <w:p>
            <w:pPr>
              <w:jc w:val="right"/>
              <w:ind w:right="50"/>
              <w:spacing w:after="0"/>
              <w:rPr>
                <w:sz w:val="20"/>
                <w:szCs w:val="20"/>
                <w:color w:val="auto"/>
              </w:rPr>
            </w:pPr>
            <w:r>
              <w:rPr>
                <w:rFonts w:ascii="Arial" w:cs="Arial" w:eastAsia="Arial" w:hAnsi="Arial"/>
                <w:sz w:val="18"/>
                <w:szCs w:val="18"/>
                <w:color w:val="auto"/>
              </w:rPr>
              <w:t>1,784</w:t>
            </w:r>
          </w:p>
        </w:tc>
        <w:tc>
          <w:tcPr>
            <w:tcW w:w="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FBFBF"/>
            </w:tcBorders>
          </w:tcPr>
          <w:p>
            <w:pPr>
              <w:jc w:val="right"/>
              <w:ind w:right="17"/>
              <w:spacing w:after="0"/>
              <w:rPr>
                <w:sz w:val="20"/>
                <w:szCs w:val="20"/>
                <w:color w:val="auto"/>
              </w:rPr>
            </w:pPr>
            <w:r>
              <w:rPr>
                <w:rFonts w:ascii="Arial" w:cs="Arial" w:eastAsia="Arial" w:hAnsi="Arial"/>
                <w:sz w:val="18"/>
                <w:szCs w:val="18"/>
                <w:color w:val="auto"/>
              </w:rPr>
              <w:t>1,515</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1,345</w:t>
            </w:r>
          </w:p>
        </w:tc>
        <w:tc>
          <w:tcPr>
            <w:tcW w:w="10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Less</w:t>
            </w:r>
          </w:p>
        </w:tc>
        <w:tc>
          <w:tcPr>
            <w:tcW w:w="500" w:type="dxa"/>
            <w:vAlign w:val="bottom"/>
            <w:tcBorders>
              <w:bottom w:val="single" w:sz="8" w:color="BFBFBF"/>
            </w:tcBorders>
          </w:tcPr>
          <w:p>
            <w:pPr>
              <w:spacing w:after="0"/>
              <w:rPr>
                <w:sz w:val="19"/>
                <w:szCs w:val="19"/>
                <w:color w:val="auto"/>
              </w:rPr>
            </w:pPr>
          </w:p>
        </w:tc>
        <w:tc>
          <w:tcPr>
            <w:tcW w:w="98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1300" w:type="dxa"/>
            <w:vAlign w:val="bottom"/>
            <w:tcBorders>
              <w:bottom w:val="single" w:sz="8" w:color="BFBFBF"/>
            </w:tcBorders>
          </w:tcPr>
          <w:p>
            <w:pPr>
              <w:spacing w:after="0"/>
              <w:rPr>
                <w:sz w:val="19"/>
                <w:szCs w:val="19"/>
                <w:color w:val="auto"/>
              </w:rPr>
            </w:pPr>
          </w:p>
        </w:tc>
        <w:tc>
          <w:tcPr>
            <w:tcW w:w="10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BFBFBF"/>
            </w:tcBorders>
          </w:tcPr>
          <w:p>
            <w:pPr>
              <w:ind w:left="140"/>
              <w:spacing w:after="0" w:line="223" w:lineRule="exact"/>
              <w:rPr>
                <w:sz w:val="20"/>
                <w:szCs w:val="20"/>
                <w:color w:val="auto"/>
              </w:rPr>
            </w:pPr>
            <w:r>
              <w:rPr>
                <w:rFonts w:ascii="Arial" w:cs="Arial" w:eastAsia="Arial" w:hAnsi="Arial"/>
                <w:sz w:val="18"/>
                <w:szCs w:val="18"/>
                <w:color w:val="auto"/>
              </w:rPr>
              <w:t>Cost of products and services sold</w:t>
            </w:r>
            <w:r>
              <w:rPr>
                <w:rFonts w:ascii="Arial" w:cs="Arial" w:eastAsia="Arial" w:hAnsi="Arial"/>
                <w:sz w:val="23"/>
                <w:szCs w:val="23"/>
                <w:color w:val="auto"/>
                <w:vertAlign w:val="superscript"/>
              </w:rPr>
              <w:t>(1)</w:t>
            </w:r>
          </w:p>
        </w:tc>
        <w:tc>
          <w:tcPr>
            <w:tcW w:w="500" w:type="dxa"/>
            <w:vAlign w:val="bottom"/>
            <w:tcBorders>
              <w:bottom w:val="single" w:sz="8" w:color="BFBFBF"/>
            </w:tcBorders>
          </w:tcPr>
          <w:p>
            <w:pPr>
              <w:spacing w:after="0"/>
              <w:rPr>
                <w:sz w:val="19"/>
                <w:szCs w:val="19"/>
                <w:color w:val="auto"/>
              </w:rPr>
            </w:pPr>
          </w:p>
        </w:tc>
        <w:tc>
          <w:tcPr>
            <w:tcW w:w="980" w:type="dxa"/>
            <w:vAlign w:val="bottom"/>
            <w:tcBorders>
              <w:bottom w:val="single" w:sz="8" w:color="BFBFBF"/>
            </w:tcBorders>
          </w:tcPr>
          <w:p>
            <w:pPr>
              <w:jc w:val="right"/>
              <w:ind w:right="50"/>
              <w:spacing w:after="0"/>
              <w:rPr>
                <w:sz w:val="20"/>
                <w:szCs w:val="20"/>
                <w:color w:val="auto"/>
              </w:rPr>
            </w:pPr>
            <w:r>
              <w:rPr>
                <w:rFonts w:ascii="Arial" w:cs="Arial" w:eastAsia="Arial" w:hAnsi="Arial"/>
                <w:sz w:val="18"/>
                <w:szCs w:val="18"/>
                <w:color w:val="auto"/>
              </w:rPr>
              <w:t>954</w:t>
            </w:r>
          </w:p>
        </w:tc>
        <w:tc>
          <w:tcPr>
            <w:tcW w:w="16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jc w:val="right"/>
              <w:ind w:right="17"/>
              <w:spacing w:after="0"/>
              <w:rPr>
                <w:sz w:val="20"/>
                <w:szCs w:val="20"/>
                <w:color w:val="auto"/>
              </w:rPr>
            </w:pPr>
            <w:r>
              <w:rPr>
                <w:rFonts w:ascii="Arial" w:cs="Arial" w:eastAsia="Arial" w:hAnsi="Arial"/>
                <w:sz w:val="18"/>
                <w:szCs w:val="18"/>
                <w:color w:val="auto"/>
              </w:rPr>
              <w:t>1,105</w:t>
            </w:r>
          </w:p>
        </w:tc>
        <w:tc>
          <w:tcPr>
            <w:tcW w:w="200" w:type="dxa"/>
            <w:vAlign w:val="bottom"/>
            <w:tcBorders>
              <w:bottom w:val="single" w:sz="8" w:color="BFBFBF"/>
            </w:tcBorders>
          </w:tcPr>
          <w:p>
            <w:pPr>
              <w:spacing w:after="0"/>
              <w:rPr>
                <w:sz w:val="19"/>
                <w:szCs w:val="19"/>
                <w:color w:val="auto"/>
              </w:rPr>
            </w:pPr>
          </w:p>
        </w:tc>
        <w:tc>
          <w:tcPr>
            <w:tcW w:w="13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830</w:t>
            </w:r>
          </w:p>
        </w:tc>
        <w:tc>
          <w:tcPr>
            <w:tcW w:w="10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384348"/>
            </w:tcBorders>
          </w:tcPr>
          <w:p>
            <w:pPr>
              <w:ind w:left="140"/>
              <w:spacing w:after="0" w:line="223"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(2)</w:t>
            </w:r>
          </w:p>
        </w:tc>
        <w:tc>
          <w:tcPr>
            <w:tcW w:w="500" w:type="dxa"/>
            <w:vAlign w:val="bottom"/>
            <w:tcBorders>
              <w:bottom w:val="single" w:sz="8" w:color="384348"/>
            </w:tcBorders>
          </w:tcPr>
          <w:p>
            <w:pPr>
              <w:spacing w:after="0"/>
              <w:rPr>
                <w:sz w:val="19"/>
                <w:szCs w:val="19"/>
                <w:color w:val="auto"/>
              </w:rPr>
            </w:pPr>
          </w:p>
        </w:tc>
        <w:tc>
          <w:tcPr>
            <w:tcW w:w="980" w:type="dxa"/>
            <w:vAlign w:val="bottom"/>
            <w:tcBorders>
              <w:bottom w:val="single" w:sz="8" w:color="384348"/>
            </w:tcBorders>
          </w:tcPr>
          <w:p>
            <w:pPr>
              <w:jc w:val="right"/>
              <w:ind w:right="50"/>
              <w:spacing w:after="0"/>
              <w:rPr>
                <w:sz w:val="20"/>
                <w:szCs w:val="20"/>
                <w:color w:val="auto"/>
              </w:rPr>
            </w:pPr>
            <w:r>
              <w:rPr>
                <w:rFonts w:ascii="Arial" w:cs="Arial" w:eastAsia="Arial" w:hAnsi="Arial"/>
                <w:sz w:val="18"/>
                <w:szCs w:val="18"/>
                <w:color w:val="auto"/>
              </w:rPr>
              <w:t>266</w:t>
            </w:r>
          </w:p>
        </w:tc>
        <w:tc>
          <w:tcPr>
            <w:tcW w:w="160" w:type="dxa"/>
            <w:vAlign w:val="bottom"/>
            <w:tcBorders>
              <w:bottom w:val="single" w:sz="8" w:color="384348"/>
            </w:tcBorders>
          </w:tcPr>
          <w:p>
            <w:pPr>
              <w:spacing w:after="0"/>
              <w:rPr>
                <w:sz w:val="19"/>
                <w:szCs w:val="19"/>
                <w:color w:val="auto"/>
              </w:rPr>
            </w:pPr>
          </w:p>
        </w:tc>
        <w:tc>
          <w:tcPr>
            <w:tcW w:w="1320" w:type="dxa"/>
            <w:vAlign w:val="bottom"/>
            <w:tcBorders>
              <w:bottom w:val="single" w:sz="8" w:color="384348"/>
            </w:tcBorders>
          </w:tcPr>
          <w:p>
            <w:pPr>
              <w:jc w:val="right"/>
              <w:ind w:right="17"/>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384348"/>
            </w:tcBorders>
          </w:tcPr>
          <w:p>
            <w:pPr>
              <w:spacing w:after="0"/>
              <w:rPr>
                <w:sz w:val="19"/>
                <w:szCs w:val="19"/>
                <w:color w:val="auto"/>
              </w:rPr>
            </w:pPr>
          </w:p>
        </w:tc>
        <w:tc>
          <w:tcPr>
            <w:tcW w:w="13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133</w:t>
            </w:r>
          </w:p>
        </w:tc>
        <w:tc>
          <w:tcPr>
            <w:tcW w:w="10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spacing w:after="0"/>
              <w:rPr>
                <w:sz w:val="19"/>
                <w:szCs w:val="19"/>
                <w:color w:val="auto"/>
              </w:rPr>
            </w:pPr>
          </w:p>
        </w:tc>
        <w:tc>
          <w:tcPr>
            <w:tcW w:w="38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Total segment profit</w:t>
            </w:r>
          </w:p>
        </w:tc>
        <w:tc>
          <w:tcPr>
            <w:tcW w:w="5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384348"/>
            </w:tcBorders>
          </w:tcPr>
          <w:p>
            <w:pPr>
              <w:jc w:val="right"/>
              <w:ind w:right="50"/>
              <w:spacing w:after="0"/>
              <w:rPr>
                <w:sz w:val="20"/>
                <w:szCs w:val="20"/>
                <w:color w:val="auto"/>
              </w:rPr>
            </w:pPr>
            <w:r>
              <w:rPr>
                <w:rFonts w:ascii="Arial" w:cs="Arial" w:eastAsia="Arial" w:hAnsi="Arial"/>
                <w:sz w:val="18"/>
                <w:szCs w:val="18"/>
                <w:b w:val="1"/>
                <w:bCs w:val="1"/>
                <w:color w:val="auto"/>
              </w:rPr>
              <w:t>564</w:t>
            </w:r>
          </w:p>
        </w:tc>
        <w:tc>
          <w:tcPr>
            <w:tcW w:w="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384348"/>
            </w:tcBorders>
          </w:tcPr>
          <w:p>
            <w:pPr>
              <w:jc w:val="right"/>
              <w:ind w:right="17"/>
              <w:spacing w:after="0"/>
              <w:rPr>
                <w:sz w:val="20"/>
                <w:szCs w:val="20"/>
                <w:color w:val="auto"/>
              </w:rPr>
            </w:pPr>
            <w:r>
              <w:rPr>
                <w:rFonts w:ascii="Arial" w:cs="Arial" w:eastAsia="Arial" w:hAnsi="Arial"/>
                <w:sz w:val="18"/>
                <w:szCs w:val="18"/>
                <w:b w:val="1"/>
                <w:bCs w:val="1"/>
                <w:color w:val="auto"/>
              </w:rPr>
              <w:t>250</w:t>
            </w: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382</w:t>
            </w:r>
          </w:p>
        </w:tc>
        <w:tc>
          <w:tcPr>
            <w:tcW w:w="1080" w:type="dxa"/>
            <w:vAlign w:val="bottom"/>
            <w:tcBorders>
              <w:bottom w:val="single" w:sz="8" w:color="384348"/>
            </w:tcBorders>
          </w:tcPr>
          <w:p>
            <w:pPr>
              <w:jc w:val="right"/>
              <w:ind w:right="799"/>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(35)</w:t>
            </w:r>
          </w:p>
        </w:tc>
        <w:tc>
          <w:tcPr>
            <w:tcW w:w="380" w:type="dxa"/>
            <w:vAlign w:val="bottom"/>
            <w:tcBorders>
              <w:bottom w:val="single" w:sz="8" w:color="384348"/>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1,161</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BFBFBF"/>
            </w:tcBorders>
          </w:tcPr>
          <w:p>
            <w:pPr>
              <w:spacing w:after="0"/>
              <w:rPr>
                <w:sz w:val="12"/>
                <w:szCs w:val="12"/>
                <w:color w:val="auto"/>
              </w:rPr>
            </w:pPr>
          </w:p>
        </w:tc>
        <w:tc>
          <w:tcPr>
            <w:tcW w:w="500" w:type="dxa"/>
            <w:vAlign w:val="bottom"/>
            <w:tcBorders>
              <w:bottom w:val="single" w:sz="8" w:color="BFBFBF"/>
            </w:tcBorders>
          </w:tcPr>
          <w:p>
            <w:pPr>
              <w:spacing w:after="0"/>
              <w:rPr>
                <w:sz w:val="12"/>
                <w:szCs w:val="12"/>
                <w:color w:val="auto"/>
              </w:rPr>
            </w:pPr>
          </w:p>
        </w:tc>
        <w:tc>
          <w:tcPr>
            <w:tcW w:w="980" w:type="dxa"/>
            <w:vAlign w:val="bottom"/>
            <w:tcBorders>
              <w:bottom w:val="single" w:sz="8" w:color="BFBFBF"/>
            </w:tcBorders>
          </w:tcPr>
          <w:p>
            <w:pPr>
              <w:spacing w:after="0"/>
              <w:rPr>
                <w:sz w:val="12"/>
                <w:szCs w:val="12"/>
                <w:color w:val="auto"/>
              </w:rPr>
            </w:pPr>
          </w:p>
        </w:tc>
        <w:tc>
          <w:tcPr>
            <w:tcW w:w="160" w:type="dxa"/>
            <w:vAlign w:val="bottom"/>
            <w:tcBorders>
              <w:bottom w:val="single" w:sz="8" w:color="BFBFBF"/>
            </w:tcBorders>
          </w:tcPr>
          <w:p>
            <w:pPr>
              <w:spacing w:after="0"/>
              <w:rPr>
                <w:sz w:val="12"/>
                <w:szCs w:val="12"/>
                <w:color w:val="auto"/>
              </w:rPr>
            </w:pPr>
          </w:p>
        </w:tc>
        <w:tc>
          <w:tcPr>
            <w:tcW w:w="1320" w:type="dxa"/>
            <w:vAlign w:val="bottom"/>
            <w:tcBorders>
              <w:bottom w:val="single" w:sz="8" w:color="BFBFBF"/>
            </w:tcBorders>
          </w:tcPr>
          <w:p>
            <w:pPr>
              <w:spacing w:after="0"/>
              <w:rPr>
                <w:sz w:val="12"/>
                <w:szCs w:val="12"/>
                <w:color w:val="auto"/>
              </w:rPr>
            </w:pPr>
          </w:p>
        </w:tc>
        <w:tc>
          <w:tcPr>
            <w:tcW w:w="200" w:type="dxa"/>
            <w:vAlign w:val="bottom"/>
            <w:tcBorders>
              <w:bottom w:val="single" w:sz="8" w:color="BFBFBF"/>
            </w:tcBorders>
          </w:tcPr>
          <w:p>
            <w:pPr>
              <w:spacing w:after="0"/>
              <w:rPr>
                <w:sz w:val="12"/>
                <w:szCs w:val="12"/>
                <w:color w:val="auto"/>
              </w:rPr>
            </w:pPr>
          </w:p>
        </w:tc>
        <w:tc>
          <w:tcPr>
            <w:tcW w:w="1300" w:type="dxa"/>
            <w:vAlign w:val="bottom"/>
            <w:tcBorders>
              <w:bottom w:val="single" w:sz="8" w:color="BFBFBF"/>
            </w:tcBorders>
          </w:tcPr>
          <w:p>
            <w:pPr>
              <w:spacing w:after="0"/>
              <w:rPr>
                <w:sz w:val="12"/>
                <w:szCs w:val="12"/>
                <w:color w:val="auto"/>
              </w:rPr>
            </w:pPr>
          </w:p>
        </w:tc>
        <w:tc>
          <w:tcPr>
            <w:tcW w:w="1080" w:type="dxa"/>
            <w:vAlign w:val="bottom"/>
            <w:tcBorders>
              <w:bottom w:val="single" w:sz="8" w:color="BFBFBF"/>
            </w:tcBorders>
          </w:tcPr>
          <w:p>
            <w:pPr>
              <w:spacing w:after="0"/>
              <w:rPr>
                <w:sz w:val="12"/>
                <w:szCs w:val="12"/>
                <w:color w:val="auto"/>
              </w:rPr>
            </w:pPr>
          </w:p>
        </w:tc>
        <w:tc>
          <w:tcPr>
            <w:tcW w:w="480" w:type="dxa"/>
            <w:vAlign w:val="bottom"/>
            <w:tcBorders>
              <w:bottom w:val="single" w:sz="8" w:color="BFBFBF"/>
            </w:tcBorders>
          </w:tcPr>
          <w:p>
            <w:pPr>
              <w:spacing w:after="0"/>
              <w:rPr>
                <w:sz w:val="12"/>
                <w:szCs w:val="12"/>
                <w:color w:val="auto"/>
              </w:rPr>
            </w:pPr>
          </w:p>
        </w:tc>
        <w:tc>
          <w:tcPr>
            <w:tcW w:w="380" w:type="dxa"/>
            <w:vAlign w:val="bottom"/>
            <w:tcBorders>
              <w:bottom w:val="single" w:sz="8" w:color="BFBFBF"/>
            </w:tcBorders>
          </w:tcPr>
          <w:p>
            <w:pPr>
              <w:spacing w:after="0"/>
              <w:rPr>
                <w:sz w:val="12"/>
                <w:szCs w:val="12"/>
                <w:color w:val="auto"/>
              </w:rPr>
            </w:pPr>
          </w:p>
        </w:tc>
        <w:tc>
          <w:tcPr>
            <w:tcW w:w="1100" w:type="dxa"/>
            <w:vAlign w:val="bottom"/>
            <w:tcBorders>
              <w:bottom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BFBFBF"/>
            </w:tcBorders>
          </w:tcPr>
          <w:p>
            <w:pPr>
              <w:jc w:val="right"/>
              <w:ind w:right="50"/>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FBFBF"/>
            </w:tcBorders>
          </w:tcPr>
          <w:p>
            <w:pPr>
              <w:jc w:val="right"/>
              <w:ind w:right="17"/>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27</w:t>
            </w:r>
          </w:p>
        </w:tc>
        <w:tc>
          <w:tcPr>
            <w:tcW w:w="1080" w:type="dxa"/>
            <w:vAlign w:val="bottom"/>
            <w:tcBorders>
              <w:bottom w:val="single" w:sz="8" w:color="BFBFBF"/>
            </w:tcBorders>
          </w:tcPr>
          <w:p>
            <w:pPr>
              <w:jc w:val="right"/>
              <w:ind w:right="79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BFBFBF"/>
            </w:tcBorders>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BFBFBF"/>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5"/>
        </w:trPr>
        <w:tc>
          <w:tcPr>
            <w:tcW w:w="3740" w:type="dxa"/>
            <w:vAlign w:val="bottom"/>
          </w:tcPr>
          <w:p>
            <w:pPr>
              <w:spacing w:after="0"/>
              <w:rPr>
                <w:sz w:val="20"/>
                <w:szCs w:val="20"/>
                <w:color w:val="auto"/>
              </w:rPr>
            </w:pPr>
            <w:r>
              <w:rPr>
                <w:rFonts w:ascii="Arial" w:cs="Arial" w:eastAsia="Arial" w:hAnsi="Arial"/>
                <w:sz w:val="14"/>
                <w:szCs w:val="14"/>
                <w:color w:val="auto"/>
              </w:rPr>
              <w:t>__________________</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exclude acquisition-related intangibles amortization, repositioning charges, and environmental expenses.</w:t>
      </w:r>
    </w:p>
    <w:p>
      <w:pPr>
        <w:spacing w:after="0" w:line="14" w:lineRule="exact"/>
        <w:rPr>
          <w:rFonts w:ascii="Arial" w:cs="Arial" w:eastAsia="Arial" w:hAnsi="Arial"/>
          <w:sz w:val="14"/>
          <w:szCs w:val="14"/>
          <w:color w:val="auto"/>
        </w:rPr>
      </w:pPr>
    </w:p>
    <w:p>
      <w:pPr>
        <w:ind w:left="340" w:hanging="332"/>
        <w:spacing w:after="0" w:line="284" w:lineRule="auto"/>
        <w:tabs>
          <w:tab w:leader="none" w:pos="338"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each reportable segment, the other segment items category includes corporate allocations, equity income of affiliated companies, Selling, general and administrative, and Research and development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40" w:type="dxa"/>
            <w:vAlign w:val="bottom"/>
          </w:tcPr>
          <w:p>
            <w:pPr>
              <w:spacing w:after="0"/>
              <w:rPr>
                <w:sz w:val="17"/>
                <w:szCs w:val="17"/>
                <w:color w:val="auto"/>
              </w:rPr>
            </w:pPr>
          </w:p>
        </w:tc>
        <w:tc>
          <w:tcPr>
            <w:tcW w:w="500" w:type="dxa"/>
            <w:vAlign w:val="bottom"/>
            <w:tcBorders>
              <w:bottom w:val="single" w:sz="8" w:color="FF4400"/>
            </w:tcBorders>
          </w:tcPr>
          <w:p>
            <w:pPr>
              <w:spacing w:after="0"/>
              <w:rPr>
                <w:sz w:val="17"/>
                <w:szCs w:val="17"/>
                <w:color w:val="auto"/>
              </w:rPr>
            </w:pPr>
          </w:p>
        </w:tc>
        <w:tc>
          <w:tcPr>
            <w:tcW w:w="980" w:type="dxa"/>
            <w:vAlign w:val="bottom"/>
            <w:tcBorders>
              <w:bottom w:val="single" w:sz="8" w:color="FF4400"/>
            </w:tcBorders>
          </w:tcPr>
          <w:p>
            <w:pPr>
              <w:spacing w:after="0"/>
              <w:rPr>
                <w:sz w:val="17"/>
                <w:szCs w:val="17"/>
                <w:color w:val="auto"/>
              </w:rPr>
            </w:pPr>
          </w:p>
        </w:tc>
        <w:tc>
          <w:tcPr>
            <w:tcW w:w="160" w:type="dxa"/>
            <w:vAlign w:val="bottom"/>
            <w:tcBorders>
              <w:bottom w:val="single" w:sz="8" w:color="FF4400"/>
            </w:tcBorders>
          </w:tcPr>
          <w:p>
            <w:pPr>
              <w:spacing w:after="0"/>
              <w:rPr>
                <w:sz w:val="17"/>
                <w:szCs w:val="17"/>
                <w:color w:val="auto"/>
              </w:rPr>
            </w:pPr>
          </w:p>
        </w:tc>
        <w:tc>
          <w:tcPr>
            <w:tcW w:w="3900" w:type="dxa"/>
            <w:vAlign w:val="bottom"/>
            <w:tcBorders>
              <w:bottom w:val="single" w:sz="8" w:color="FF4400"/>
            </w:tcBorders>
            <w:gridSpan w:val="4"/>
          </w:tcPr>
          <w:p>
            <w:pPr>
              <w:jc w:val="right"/>
              <w:ind w:right="299"/>
              <w:spacing w:after="0"/>
              <w:rPr>
                <w:sz w:val="20"/>
                <w:szCs w:val="20"/>
                <w:color w:val="auto"/>
              </w:rPr>
            </w:pPr>
            <w:r>
              <w:rPr>
                <w:rFonts w:ascii="Arial" w:cs="Arial" w:eastAsia="Arial" w:hAnsi="Arial"/>
                <w:sz w:val="14"/>
                <w:szCs w:val="14"/>
                <w:b w:val="1"/>
                <w:bCs w:val="1"/>
                <w:color w:val="auto"/>
              </w:rPr>
              <w:t>Three Months Ended September 27, 2025</w:t>
            </w:r>
          </w:p>
        </w:tc>
        <w:tc>
          <w:tcPr>
            <w:tcW w:w="480" w:type="dxa"/>
            <w:vAlign w:val="bottom"/>
            <w:tcBorders>
              <w:bottom w:val="single" w:sz="8" w:color="FF4400"/>
            </w:tcBorders>
          </w:tcPr>
          <w:p>
            <w:pPr>
              <w:spacing w:after="0"/>
              <w:rPr>
                <w:sz w:val="17"/>
                <w:szCs w:val="17"/>
                <w:color w:val="auto"/>
              </w:rPr>
            </w:pPr>
          </w:p>
        </w:tc>
        <w:tc>
          <w:tcPr>
            <w:tcW w:w="380" w:type="dxa"/>
            <w:vAlign w:val="bottom"/>
            <w:tcBorders>
              <w:bottom w:val="single" w:sz="8" w:color="FF4400"/>
            </w:tcBorders>
          </w:tcPr>
          <w:p>
            <w:pPr>
              <w:spacing w:after="0"/>
              <w:rPr>
                <w:sz w:val="17"/>
                <w:szCs w:val="17"/>
                <w:color w:val="auto"/>
              </w:rPr>
            </w:pPr>
          </w:p>
        </w:tc>
        <w:tc>
          <w:tcPr>
            <w:tcW w:w="1100" w:type="dxa"/>
            <w:vAlign w:val="bottom"/>
            <w:tcBorders>
              <w:bottom w:val="single" w:sz="8" w:color="FF4400"/>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74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Electronic Solutions</w:t>
            </w:r>
          </w:p>
        </w:tc>
        <w:tc>
          <w:tcPr>
            <w:tcW w:w="160" w:type="dxa"/>
            <w:vAlign w:val="bottom"/>
          </w:tcPr>
          <w:p>
            <w:pPr>
              <w:spacing w:after="0"/>
              <w:rPr>
                <w:sz w:val="12"/>
                <w:szCs w:val="12"/>
                <w:color w:val="auto"/>
              </w:rPr>
            </w:pPr>
          </w:p>
        </w:tc>
        <w:tc>
          <w:tcPr>
            <w:tcW w:w="1320" w:type="dxa"/>
            <w:vAlign w:val="bottom"/>
          </w:tcPr>
          <w:p>
            <w:pPr>
              <w:jc w:val="right"/>
              <w:ind w:right="57"/>
              <w:spacing w:after="0" w:line="147" w:lineRule="exact"/>
              <w:rPr>
                <w:sz w:val="20"/>
                <w:szCs w:val="20"/>
                <w:color w:val="auto"/>
              </w:rPr>
            </w:pPr>
            <w:r>
              <w:rPr>
                <w:rFonts w:ascii="Arial" w:cs="Arial" w:eastAsia="Arial" w:hAnsi="Arial"/>
                <w:sz w:val="14"/>
                <w:szCs w:val="14"/>
                <w:b w:val="1"/>
                <w:bCs w:val="1"/>
                <w:color w:val="auto"/>
              </w:rPr>
              <w:t>Engines &amp; Power</w:t>
            </w:r>
          </w:p>
        </w:tc>
        <w:tc>
          <w:tcPr>
            <w:tcW w:w="200" w:type="dxa"/>
            <w:vAlign w:val="bottom"/>
          </w:tcPr>
          <w:p>
            <w:pPr>
              <w:spacing w:after="0"/>
              <w:rPr>
                <w:sz w:val="12"/>
                <w:szCs w:val="12"/>
                <w:color w:val="auto"/>
              </w:rPr>
            </w:pPr>
          </w:p>
        </w:tc>
        <w:tc>
          <w:tcPr>
            <w:tcW w:w="13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Control Systems</w:t>
            </w:r>
          </w:p>
        </w:tc>
        <w:tc>
          <w:tcPr>
            <w:tcW w:w="156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Corporate and All</w:t>
            </w:r>
          </w:p>
        </w:tc>
        <w:tc>
          <w:tcPr>
            <w:tcW w:w="380" w:type="dxa"/>
            <w:vAlign w:val="bottom"/>
          </w:tcPr>
          <w:p>
            <w:pPr>
              <w:spacing w:after="0"/>
              <w:rPr>
                <w:sz w:val="12"/>
                <w:szCs w:val="12"/>
                <w:color w:val="auto"/>
              </w:rPr>
            </w:pPr>
          </w:p>
        </w:tc>
        <w:tc>
          <w:tcPr>
            <w:tcW w:w="110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FF4400"/>
            </w:tcBorders>
          </w:tcPr>
          <w:p>
            <w:pPr>
              <w:spacing w:after="0"/>
              <w:rPr>
                <w:sz w:val="16"/>
                <w:szCs w:val="16"/>
                <w:color w:val="auto"/>
              </w:rPr>
            </w:pPr>
          </w:p>
        </w:tc>
        <w:tc>
          <w:tcPr>
            <w:tcW w:w="1480" w:type="dxa"/>
            <w:vAlign w:val="bottom"/>
            <w:tcBorders>
              <w:bottom w:val="single" w:sz="8" w:color="FF4400"/>
            </w:tcBorders>
            <w:gridSpan w:val="2"/>
            <w:vMerge w:val="continue"/>
          </w:tcPr>
          <w:p>
            <w:pPr>
              <w:spacing w:after="0"/>
              <w:rPr>
                <w:sz w:val="16"/>
                <w:szCs w:val="16"/>
                <w:color w:val="auto"/>
              </w:rPr>
            </w:pPr>
          </w:p>
        </w:tc>
        <w:tc>
          <w:tcPr>
            <w:tcW w:w="160" w:type="dxa"/>
            <w:vAlign w:val="bottom"/>
            <w:tcBorders>
              <w:bottom w:val="single" w:sz="8" w:color="FF4400"/>
            </w:tcBorders>
          </w:tcPr>
          <w:p>
            <w:pPr>
              <w:spacing w:after="0"/>
              <w:rPr>
                <w:sz w:val="16"/>
                <w:szCs w:val="16"/>
                <w:color w:val="auto"/>
              </w:rPr>
            </w:pPr>
          </w:p>
        </w:tc>
        <w:tc>
          <w:tcPr>
            <w:tcW w:w="1320" w:type="dxa"/>
            <w:vAlign w:val="bottom"/>
            <w:tcBorders>
              <w:bottom w:val="single" w:sz="8" w:color="FF4400"/>
            </w:tcBorders>
          </w:tcPr>
          <w:p>
            <w:pPr>
              <w:jc w:val="right"/>
              <w:ind w:right="357"/>
              <w:spacing w:after="0"/>
              <w:rPr>
                <w:sz w:val="20"/>
                <w:szCs w:val="20"/>
                <w:color w:val="auto"/>
              </w:rPr>
            </w:pPr>
            <w:r>
              <w:rPr>
                <w:rFonts w:ascii="Arial" w:cs="Arial" w:eastAsia="Arial" w:hAnsi="Arial"/>
                <w:sz w:val="14"/>
                <w:szCs w:val="14"/>
                <w:b w:val="1"/>
                <w:bCs w:val="1"/>
                <w:color w:val="auto"/>
              </w:rPr>
              <w:t>Systems</w:t>
            </w:r>
          </w:p>
        </w:tc>
        <w:tc>
          <w:tcPr>
            <w:tcW w:w="200" w:type="dxa"/>
            <w:vAlign w:val="bottom"/>
            <w:tcBorders>
              <w:bottom w:val="single" w:sz="8" w:color="FF4400"/>
            </w:tcBorders>
          </w:tcPr>
          <w:p>
            <w:pPr>
              <w:spacing w:after="0"/>
              <w:rPr>
                <w:sz w:val="16"/>
                <w:szCs w:val="16"/>
                <w:color w:val="auto"/>
              </w:rPr>
            </w:pPr>
          </w:p>
        </w:tc>
        <w:tc>
          <w:tcPr>
            <w:tcW w:w="1300" w:type="dxa"/>
            <w:vAlign w:val="bottom"/>
            <w:tcBorders>
              <w:bottom w:val="single" w:sz="8" w:color="FF4400"/>
            </w:tcBorders>
            <w:vMerge w:val="continue"/>
          </w:tcPr>
          <w:p>
            <w:pPr>
              <w:spacing w:after="0"/>
              <w:rPr>
                <w:sz w:val="16"/>
                <w:szCs w:val="16"/>
                <w:color w:val="auto"/>
              </w:rPr>
            </w:pPr>
          </w:p>
        </w:tc>
        <w:tc>
          <w:tcPr>
            <w:tcW w:w="1080" w:type="dxa"/>
            <w:vAlign w:val="bottom"/>
            <w:tcBorders>
              <w:bottom w:val="single" w:sz="8" w:color="FF4400"/>
            </w:tcBorders>
          </w:tcPr>
          <w:p>
            <w:pPr>
              <w:jc w:val="right"/>
              <w:spacing w:after="0"/>
              <w:rPr>
                <w:sz w:val="20"/>
                <w:szCs w:val="20"/>
                <w:color w:val="auto"/>
              </w:rPr>
            </w:pPr>
            <w:r>
              <w:rPr>
                <w:rFonts w:ascii="Arial" w:cs="Arial" w:eastAsia="Arial" w:hAnsi="Arial"/>
                <w:sz w:val="14"/>
                <w:szCs w:val="14"/>
                <w:b w:val="1"/>
                <w:bCs w:val="1"/>
                <w:color w:val="auto"/>
              </w:rPr>
              <w:t>Other</w:t>
            </w:r>
          </w:p>
        </w:tc>
        <w:tc>
          <w:tcPr>
            <w:tcW w:w="480" w:type="dxa"/>
            <w:vAlign w:val="bottom"/>
            <w:tcBorders>
              <w:bottom w:val="single" w:sz="8" w:color="FF4400"/>
            </w:tcBorders>
          </w:tcPr>
          <w:p>
            <w:pPr>
              <w:spacing w:after="0"/>
              <w:rPr>
                <w:sz w:val="16"/>
                <w:szCs w:val="16"/>
                <w:color w:val="auto"/>
              </w:rPr>
            </w:pPr>
          </w:p>
        </w:tc>
        <w:tc>
          <w:tcPr>
            <w:tcW w:w="380" w:type="dxa"/>
            <w:vAlign w:val="bottom"/>
            <w:tcBorders>
              <w:bottom w:val="single" w:sz="8" w:color="FF4400"/>
            </w:tcBorders>
          </w:tcPr>
          <w:p>
            <w:pPr>
              <w:spacing w:after="0"/>
              <w:rPr>
                <w:sz w:val="16"/>
                <w:szCs w:val="16"/>
                <w:color w:val="auto"/>
              </w:rPr>
            </w:pPr>
          </w:p>
        </w:tc>
        <w:tc>
          <w:tcPr>
            <w:tcW w:w="1100" w:type="dxa"/>
            <w:vAlign w:val="bottom"/>
            <w:tcBorders>
              <w:bottom w:val="single" w:sz="8" w:color="FF440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BFBFBF"/>
            </w:tcBorders>
          </w:tcPr>
          <w:p>
            <w:pPr>
              <w:jc w:val="right"/>
              <w:ind w:right="50"/>
              <w:spacing w:after="0"/>
              <w:rPr>
                <w:sz w:val="20"/>
                <w:szCs w:val="20"/>
                <w:color w:val="auto"/>
              </w:rPr>
            </w:pPr>
            <w:r>
              <w:rPr>
                <w:rFonts w:ascii="Arial" w:cs="Arial" w:eastAsia="Arial" w:hAnsi="Arial"/>
                <w:sz w:val="18"/>
                <w:szCs w:val="18"/>
                <w:color w:val="auto"/>
              </w:rPr>
              <w:t>1,708</w:t>
            </w:r>
          </w:p>
        </w:tc>
        <w:tc>
          <w:tcPr>
            <w:tcW w:w="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FBFBF"/>
            </w:tcBorders>
          </w:tcPr>
          <w:p>
            <w:pPr>
              <w:jc w:val="right"/>
              <w:ind w:right="17"/>
              <w:spacing w:after="0"/>
              <w:rPr>
                <w:sz w:val="20"/>
                <w:szCs w:val="20"/>
                <w:color w:val="auto"/>
              </w:rPr>
            </w:pPr>
            <w:r>
              <w:rPr>
                <w:rFonts w:ascii="Arial" w:cs="Arial" w:eastAsia="Arial" w:hAnsi="Arial"/>
                <w:sz w:val="18"/>
                <w:szCs w:val="18"/>
                <w:color w:val="auto"/>
              </w:rPr>
              <w:t>1,478</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1,347</w:t>
            </w:r>
          </w:p>
        </w:tc>
        <w:tc>
          <w:tcPr>
            <w:tcW w:w="10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Less</w:t>
            </w:r>
          </w:p>
        </w:tc>
        <w:tc>
          <w:tcPr>
            <w:tcW w:w="500" w:type="dxa"/>
            <w:vAlign w:val="bottom"/>
            <w:tcBorders>
              <w:bottom w:val="single" w:sz="8" w:color="BFBFBF"/>
            </w:tcBorders>
          </w:tcPr>
          <w:p>
            <w:pPr>
              <w:spacing w:after="0"/>
              <w:rPr>
                <w:sz w:val="19"/>
                <w:szCs w:val="19"/>
                <w:color w:val="auto"/>
              </w:rPr>
            </w:pPr>
          </w:p>
        </w:tc>
        <w:tc>
          <w:tcPr>
            <w:tcW w:w="98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1300" w:type="dxa"/>
            <w:vAlign w:val="bottom"/>
            <w:tcBorders>
              <w:bottom w:val="single" w:sz="8" w:color="BFBFBF"/>
            </w:tcBorders>
          </w:tcPr>
          <w:p>
            <w:pPr>
              <w:spacing w:after="0"/>
              <w:rPr>
                <w:sz w:val="19"/>
                <w:szCs w:val="19"/>
                <w:color w:val="auto"/>
              </w:rPr>
            </w:pPr>
          </w:p>
        </w:tc>
        <w:tc>
          <w:tcPr>
            <w:tcW w:w="10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BFBFBF"/>
            </w:tcBorders>
          </w:tcPr>
          <w:p>
            <w:pPr>
              <w:ind w:left="140"/>
              <w:spacing w:after="0" w:line="223" w:lineRule="exact"/>
              <w:rPr>
                <w:sz w:val="20"/>
                <w:szCs w:val="20"/>
                <w:color w:val="auto"/>
              </w:rPr>
            </w:pPr>
            <w:r>
              <w:rPr>
                <w:rFonts w:ascii="Arial" w:cs="Arial" w:eastAsia="Arial" w:hAnsi="Arial"/>
                <w:sz w:val="18"/>
                <w:szCs w:val="18"/>
                <w:color w:val="auto"/>
              </w:rPr>
              <w:t>Cost of products and services sold</w:t>
            </w:r>
            <w:r>
              <w:rPr>
                <w:rFonts w:ascii="Arial" w:cs="Arial" w:eastAsia="Arial" w:hAnsi="Arial"/>
                <w:sz w:val="23"/>
                <w:szCs w:val="23"/>
                <w:color w:val="auto"/>
                <w:vertAlign w:val="superscript"/>
              </w:rPr>
              <w:t>(1)</w:t>
            </w:r>
          </w:p>
        </w:tc>
        <w:tc>
          <w:tcPr>
            <w:tcW w:w="500" w:type="dxa"/>
            <w:vAlign w:val="bottom"/>
            <w:tcBorders>
              <w:bottom w:val="single" w:sz="8" w:color="BFBFBF"/>
            </w:tcBorders>
          </w:tcPr>
          <w:p>
            <w:pPr>
              <w:spacing w:after="0"/>
              <w:rPr>
                <w:sz w:val="19"/>
                <w:szCs w:val="19"/>
                <w:color w:val="auto"/>
              </w:rPr>
            </w:pPr>
          </w:p>
        </w:tc>
        <w:tc>
          <w:tcPr>
            <w:tcW w:w="980" w:type="dxa"/>
            <w:vAlign w:val="bottom"/>
            <w:tcBorders>
              <w:bottom w:val="single" w:sz="8" w:color="BFBFBF"/>
            </w:tcBorders>
          </w:tcPr>
          <w:p>
            <w:pPr>
              <w:jc w:val="right"/>
              <w:ind w:right="50"/>
              <w:spacing w:after="0"/>
              <w:rPr>
                <w:sz w:val="20"/>
                <w:szCs w:val="20"/>
                <w:color w:val="auto"/>
              </w:rPr>
            </w:pPr>
            <w:r>
              <w:rPr>
                <w:rFonts w:ascii="Arial" w:cs="Arial" w:eastAsia="Arial" w:hAnsi="Arial"/>
                <w:sz w:val="18"/>
                <w:szCs w:val="18"/>
                <w:color w:val="auto"/>
              </w:rPr>
              <w:t>947</w:t>
            </w:r>
          </w:p>
        </w:tc>
        <w:tc>
          <w:tcPr>
            <w:tcW w:w="16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jc w:val="right"/>
              <w:ind w:right="17"/>
              <w:spacing w:after="0"/>
              <w:rPr>
                <w:sz w:val="20"/>
                <w:szCs w:val="20"/>
                <w:color w:val="auto"/>
              </w:rPr>
            </w:pPr>
            <w:r>
              <w:rPr>
                <w:rFonts w:ascii="Arial" w:cs="Arial" w:eastAsia="Arial" w:hAnsi="Arial"/>
                <w:sz w:val="18"/>
                <w:szCs w:val="18"/>
                <w:color w:val="auto"/>
              </w:rPr>
              <w:t>1,049</w:t>
            </w:r>
          </w:p>
        </w:tc>
        <w:tc>
          <w:tcPr>
            <w:tcW w:w="200" w:type="dxa"/>
            <w:vAlign w:val="bottom"/>
            <w:tcBorders>
              <w:bottom w:val="single" w:sz="8" w:color="BFBFBF"/>
            </w:tcBorders>
          </w:tcPr>
          <w:p>
            <w:pPr>
              <w:spacing w:after="0"/>
              <w:rPr>
                <w:sz w:val="19"/>
                <w:szCs w:val="19"/>
                <w:color w:val="auto"/>
              </w:rPr>
            </w:pPr>
          </w:p>
        </w:tc>
        <w:tc>
          <w:tcPr>
            <w:tcW w:w="13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856</w:t>
            </w:r>
          </w:p>
        </w:tc>
        <w:tc>
          <w:tcPr>
            <w:tcW w:w="10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384348"/>
            </w:tcBorders>
          </w:tcPr>
          <w:p>
            <w:pPr>
              <w:ind w:left="140"/>
              <w:spacing w:after="0" w:line="223"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(2)</w:t>
            </w:r>
          </w:p>
        </w:tc>
        <w:tc>
          <w:tcPr>
            <w:tcW w:w="500" w:type="dxa"/>
            <w:vAlign w:val="bottom"/>
            <w:tcBorders>
              <w:bottom w:val="single" w:sz="8" w:color="384348"/>
            </w:tcBorders>
          </w:tcPr>
          <w:p>
            <w:pPr>
              <w:spacing w:after="0"/>
              <w:rPr>
                <w:sz w:val="19"/>
                <w:szCs w:val="19"/>
                <w:color w:val="auto"/>
              </w:rPr>
            </w:pPr>
          </w:p>
        </w:tc>
        <w:tc>
          <w:tcPr>
            <w:tcW w:w="980" w:type="dxa"/>
            <w:vAlign w:val="bottom"/>
            <w:tcBorders>
              <w:bottom w:val="single" w:sz="8" w:color="384348"/>
            </w:tcBorders>
          </w:tcPr>
          <w:p>
            <w:pPr>
              <w:jc w:val="right"/>
              <w:ind w:right="50"/>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384348"/>
            </w:tcBorders>
          </w:tcPr>
          <w:p>
            <w:pPr>
              <w:spacing w:after="0"/>
              <w:rPr>
                <w:sz w:val="19"/>
                <w:szCs w:val="19"/>
                <w:color w:val="auto"/>
              </w:rPr>
            </w:pPr>
          </w:p>
        </w:tc>
        <w:tc>
          <w:tcPr>
            <w:tcW w:w="1320" w:type="dxa"/>
            <w:vAlign w:val="bottom"/>
            <w:tcBorders>
              <w:bottom w:val="single" w:sz="8" w:color="384348"/>
            </w:tcBorders>
          </w:tcPr>
          <w:p>
            <w:pPr>
              <w:jc w:val="right"/>
              <w:ind w:right="17"/>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384348"/>
            </w:tcBorders>
          </w:tcPr>
          <w:p>
            <w:pPr>
              <w:spacing w:after="0"/>
              <w:rPr>
                <w:sz w:val="19"/>
                <w:szCs w:val="19"/>
                <w:color w:val="auto"/>
              </w:rPr>
            </w:pPr>
          </w:p>
        </w:tc>
        <w:tc>
          <w:tcPr>
            <w:tcW w:w="13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115</w:t>
            </w:r>
          </w:p>
        </w:tc>
        <w:tc>
          <w:tcPr>
            <w:tcW w:w="10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spacing w:after="0"/>
              <w:rPr>
                <w:sz w:val="19"/>
                <w:szCs w:val="19"/>
                <w:color w:val="auto"/>
              </w:rPr>
            </w:pPr>
          </w:p>
        </w:tc>
        <w:tc>
          <w:tcPr>
            <w:tcW w:w="38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Total segment profit</w:t>
            </w:r>
          </w:p>
        </w:tc>
        <w:tc>
          <w:tcPr>
            <w:tcW w:w="5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384348"/>
            </w:tcBorders>
          </w:tcPr>
          <w:p>
            <w:pPr>
              <w:jc w:val="right"/>
              <w:ind w:right="50"/>
              <w:spacing w:after="0"/>
              <w:rPr>
                <w:sz w:val="20"/>
                <w:szCs w:val="20"/>
                <w:color w:val="auto"/>
              </w:rPr>
            </w:pPr>
            <w:r>
              <w:rPr>
                <w:rFonts w:ascii="Arial" w:cs="Arial" w:eastAsia="Arial" w:hAnsi="Arial"/>
                <w:sz w:val="18"/>
                <w:szCs w:val="18"/>
                <w:b w:val="1"/>
                <w:bCs w:val="1"/>
                <w:color w:val="auto"/>
              </w:rPr>
              <w:t>510</w:t>
            </w:r>
          </w:p>
        </w:tc>
        <w:tc>
          <w:tcPr>
            <w:tcW w:w="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384348"/>
            </w:tcBorders>
          </w:tcPr>
          <w:p>
            <w:pPr>
              <w:jc w:val="right"/>
              <w:ind w:right="17"/>
              <w:spacing w:after="0"/>
              <w:rPr>
                <w:sz w:val="20"/>
                <w:szCs w:val="20"/>
                <w:color w:val="auto"/>
              </w:rPr>
            </w:pPr>
            <w:r>
              <w:rPr>
                <w:rFonts w:ascii="Arial" w:cs="Arial" w:eastAsia="Arial" w:hAnsi="Arial"/>
                <w:sz w:val="18"/>
                <w:szCs w:val="18"/>
                <w:b w:val="1"/>
                <w:bCs w:val="1"/>
                <w:color w:val="auto"/>
              </w:rPr>
              <w:t>299</w:t>
            </w: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376</w:t>
            </w:r>
          </w:p>
        </w:tc>
        <w:tc>
          <w:tcPr>
            <w:tcW w:w="1080" w:type="dxa"/>
            <w:vAlign w:val="bottom"/>
            <w:tcBorders>
              <w:bottom w:val="single" w:sz="8" w:color="384348"/>
            </w:tcBorders>
          </w:tcPr>
          <w:p>
            <w:pPr>
              <w:jc w:val="right"/>
              <w:ind w:right="799"/>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(34)</w:t>
            </w:r>
          </w:p>
        </w:tc>
        <w:tc>
          <w:tcPr>
            <w:tcW w:w="380" w:type="dxa"/>
            <w:vAlign w:val="bottom"/>
            <w:tcBorders>
              <w:bottom w:val="single" w:sz="8" w:color="384348"/>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1,151</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BFBFBF"/>
            </w:tcBorders>
          </w:tcPr>
          <w:p>
            <w:pPr>
              <w:spacing w:after="0"/>
              <w:rPr>
                <w:sz w:val="12"/>
                <w:szCs w:val="12"/>
                <w:color w:val="auto"/>
              </w:rPr>
            </w:pPr>
          </w:p>
        </w:tc>
        <w:tc>
          <w:tcPr>
            <w:tcW w:w="500" w:type="dxa"/>
            <w:vAlign w:val="bottom"/>
            <w:tcBorders>
              <w:bottom w:val="single" w:sz="8" w:color="BFBFBF"/>
            </w:tcBorders>
          </w:tcPr>
          <w:p>
            <w:pPr>
              <w:spacing w:after="0"/>
              <w:rPr>
                <w:sz w:val="12"/>
                <w:szCs w:val="12"/>
                <w:color w:val="auto"/>
              </w:rPr>
            </w:pPr>
          </w:p>
        </w:tc>
        <w:tc>
          <w:tcPr>
            <w:tcW w:w="980" w:type="dxa"/>
            <w:vAlign w:val="bottom"/>
            <w:tcBorders>
              <w:bottom w:val="single" w:sz="8" w:color="BFBFBF"/>
            </w:tcBorders>
          </w:tcPr>
          <w:p>
            <w:pPr>
              <w:spacing w:after="0"/>
              <w:rPr>
                <w:sz w:val="12"/>
                <w:szCs w:val="12"/>
                <w:color w:val="auto"/>
              </w:rPr>
            </w:pPr>
          </w:p>
        </w:tc>
        <w:tc>
          <w:tcPr>
            <w:tcW w:w="160" w:type="dxa"/>
            <w:vAlign w:val="bottom"/>
            <w:tcBorders>
              <w:bottom w:val="single" w:sz="8" w:color="BFBFBF"/>
            </w:tcBorders>
          </w:tcPr>
          <w:p>
            <w:pPr>
              <w:spacing w:after="0"/>
              <w:rPr>
                <w:sz w:val="12"/>
                <w:szCs w:val="12"/>
                <w:color w:val="auto"/>
              </w:rPr>
            </w:pPr>
          </w:p>
        </w:tc>
        <w:tc>
          <w:tcPr>
            <w:tcW w:w="1320" w:type="dxa"/>
            <w:vAlign w:val="bottom"/>
            <w:tcBorders>
              <w:bottom w:val="single" w:sz="8" w:color="BFBFBF"/>
            </w:tcBorders>
          </w:tcPr>
          <w:p>
            <w:pPr>
              <w:spacing w:after="0"/>
              <w:rPr>
                <w:sz w:val="12"/>
                <w:szCs w:val="12"/>
                <w:color w:val="auto"/>
              </w:rPr>
            </w:pPr>
          </w:p>
        </w:tc>
        <w:tc>
          <w:tcPr>
            <w:tcW w:w="200" w:type="dxa"/>
            <w:vAlign w:val="bottom"/>
            <w:tcBorders>
              <w:bottom w:val="single" w:sz="8" w:color="BFBFBF"/>
            </w:tcBorders>
          </w:tcPr>
          <w:p>
            <w:pPr>
              <w:spacing w:after="0"/>
              <w:rPr>
                <w:sz w:val="12"/>
                <w:szCs w:val="12"/>
                <w:color w:val="auto"/>
              </w:rPr>
            </w:pPr>
          </w:p>
        </w:tc>
        <w:tc>
          <w:tcPr>
            <w:tcW w:w="1300" w:type="dxa"/>
            <w:vAlign w:val="bottom"/>
            <w:tcBorders>
              <w:bottom w:val="single" w:sz="8" w:color="BFBFBF"/>
            </w:tcBorders>
          </w:tcPr>
          <w:p>
            <w:pPr>
              <w:spacing w:after="0"/>
              <w:rPr>
                <w:sz w:val="12"/>
                <w:szCs w:val="12"/>
                <w:color w:val="auto"/>
              </w:rPr>
            </w:pPr>
          </w:p>
        </w:tc>
        <w:tc>
          <w:tcPr>
            <w:tcW w:w="1080" w:type="dxa"/>
            <w:vAlign w:val="bottom"/>
            <w:tcBorders>
              <w:bottom w:val="single" w:sz="8" w:color="BFBFBF"/>
            </w:tcBorders>
          </w:tcPr>
          <w:p>
            <w:pPr>
              <w:spacing w:after="0"/>
              <w:rPr>
                <w:sz w:val="12"/>
                <w:szCs w:val="12"/>
                <w:color w:val="auto"/>
              </w:rPr>
            </w:pPr>
          </w:p>
        </w:tc>
        <w:tc>
          <w:tcPr>
            <w:tcW w:w="480" w:type="dxa"/>
            <w:vAlign w:val="bottom"/>
            <w:tcBorders>
              <w:bottom w:val="single" w:sz="8" w:color="BFBFBF"/>
            </w:tcBorders>
          </w:tcPr>
          <w:p>
            <w:pPr>
              <w:spacing w:after="0"/>
              <w:rPr>
                <w:sz w:val="12"/>
                <w:szCs w:val="12"/>
                <w:color w:val="auto"/>
              </w:rPr>
            </w:pPr>
          </w:p>
        </w:tc>
        <w:tc>
          <w:tcPr>
            <w:tcW w:w="380" w:type="dxa"/>
            <w:vAlign w:val="bottom"/>
            <w:tcBorders>
              <w:bottom w:val="single" w:sz="8" w:color="BFBFBF"/>
            </w:tcBorders>
          </w:tcPr>
          <w:p>
            <w:pPr>
              <w:spacing w:after="0"/>
              <w:rPr>
                <w:sz w:val="12"/>
                <w:szCs w:val="12"/>
                <w:color w:val="auto"/>
              </w:rPr>
            </w:pPr>
          </w:p>
        </w:tc>
        <w:tc>
          <w:tcPr>
            <w:tcW w:w="1100" w:type="dxa"/>
            <w:vAlign w:val="bottom"/>
            <w:tcBorders>
              <w:bottom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BFBFBF"/>
            </w:tcBorders>
          </w:tcPr>
          <w:p>
            <w:pPr>
              <w:jc w:val="right"/>
              <w:ind w:right="50"/>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FBFBF"/>
            </w:tcBorders>
          </w:tcPr>
          <w:p>
            <w:pPr>
              <w:jc w:val="right"/>
              <w:ind w:right="17"/>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23</w:t>
            </w:r>
          </w:p>
        </w:tc>
        <w:tc>
          <w:tcPr>
            <w:tcW w:w="1080" w:type="dxa"/>
            <w:vAlign w:val="bottom"/>
            <w:tcBorders>
              <w:bottom w:val="single" w:sz="8" w:color="BFBFBF"/>
            </w:tcBorders>
          </w:tcPr>
          <w:p>
            <w:pPr>
              <w:jc w:val="right"/>
              <w:ind w:right="79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BFBFBF"/>
            </w:tcBorders>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BFBFBF"/>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5"/>
        </w:trPr>
        <w:tc>
          <w:tcPr>
            <w:tcW w:w="3740" w:type="dxa"/>
            <w:vAlign w:val="bottom"/>
          </w:tcPr>
          <w:p>
            <w:pPr>
              <w:spacing w:after="0"/>
              <w:rPr>
                <w:sz w:val="20"/>
                <w:szCs w:val="20"/>
                <w:color w:val="auto"/>
              </w:rPr>
            </w:pPr>
            <w:r>
              <w:rPr>
                <w:rFonts w:ascii="Arial" w:cs="Arial" w:eastAsia="Arial" w:hAnsi="Arial"/>
                <w:sz w:val="14"/>
                <w:szCs w:val="14"/>
                <w:color w:val="auto"/>
              </w:rPr>
              <w:t>__________________</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Amounts exclude acquisition-related intangibles amortization, repositioning charges, and environmental expenses.</w:t>
      </w:r>
    </w:p>
    <w:p>
      <w:pPr>
        <w:spacing w:after="0" w:line="14" w:lineRule="exact"/>
        <w:rPr>
          <w:rFonts w:ascii="Arial" w:cs="Arial" w:eastAsia="Arial" w:hAnsi="Arial"/>
          <w:sz w:val="14"/>
          <w:szCs w:val="14"/>
          <w:color w:val="auto"/>
        </w:rPr>
      </w:pPr>
    </w:p>
    <w:p>
      <w:pPr>
        <w:ind w:left="340" w:hanging="332"/>
        <w:spacing w:after="0" w:line="284" w:lineRule="auto"/>
        <w:tabs>
          <w:tab w:leader="none" w:pos="338"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each reportable segment, the other segment items category includes corporate allocations, equity income of affiliated companies, Selling, general and administrative, and Research and development expenses.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1160" w:type="dxa"/>
            <w:vAlign w:val="bottom"/>
            <w:tcBorders>
              <w:bottom w:val="single" w:sz="8" w:color="FF4400"/>
            </w:tcBorders>
          </w:tcPr>
          <w:p>
            <w:pPr>
              <w:spacing w:after="0"/>
              <w:rPr>
                <w:sz w:val="17"/>
                <w:szCs w:val="17"/>
                <w:color w:val="auto"/>
              </w:rPr>
            </w:pPr>
          </w:p>
        </w:tc>
        <w:tc>
          <w:tcPr>
            <w:tcW w:w="340" w:type="dxa"/>
            <w:vAlign w:val="bottom"/>
            <w:tcBorders>
              <w:bottom w:val="single" w:sz="8" w:color="FF4400"/>
            </w:tcBorders>
          </w:tcPr>
          <w:p>
            <w:pPr>
              <w:spacing w:after="0"/>
              <w:rPr>
                <w:sz w:val="17"/>
                <w:szCs w:val="17"/>
                <w:color w:val="auto"/>
              </w:rPr>
            </w:pPr>
          </w:p>
        </w:tc>
        <w:tc>
          <w:tcPr>
            <w:tcW w:w="3620" w:type="dxa"/>
            <w:vAlign w:val="bottom"/>
            <w:tcBorders>
              <w:bottom w:val="single" w:sz="8" w:color="FF4400"/>
            </w:tcBorders>
            <w:gridSpan w:val="4"/>
          </w:tcPr>
          <w:p>
            <w:pPr>
              <w:jc w:val="right"/>
              <w:ind w:right="279"/>
              <w:spacing w:after="0"/>
              <w:rPr>
                <w:sz w:val="20"/>
                <w:szCs w:val="20"/>
                <w:color w:val="auto"/>
              </w:rPr>
            </w:pPr>
            <w:r>
              <w:rPr>
                <w:rFonts w:ascii="Arial" w:cs="Arial" w:eastAsia="Arial" w:hAnsi="Arial"/>
                <w:sz w:val="14"/>
                <w:szCs w:val="14"/>
                <w:b w:val="1"/>
                <w:bCs w:val="1"/>
                <w:color w:val="auto"/>
              </w:rPr>
              <w:t>Nine Months Ended September 26, 2026</w:t>
            </w:r>
          </w:p>
        </w:tc>
        <w:tc>
          <w:tcPr>
            <w:tcW w:w="460" w:type="dxa"/>
            <w:vAlign w:val="bottom"/>
            <w:tcBorders>
              <w:bottom w:val="single" w:sz="8" w:color="FF4400"/>
            </w:tcBorders>
          </w:tcPr>
          <w:p>
            <w:pPr>
              <w:spacing w:after="0"/>
              <w:rPr>
                <w:sz w:val="17"/>
                <w:szCs w:val="17"/>
                <w:color w:val="auto"/>
              </w:rPr>
            </w:pPr>
          </w:p>
        </w:tc>
        <w:tc>
          <w:tcPr>
            <w:tcW w:w="380" w:type="dxa"/>
            <w:vAlign w:val="bottom"/>
            <w:tcBorders>
              <w:bottom w:val="single" w:sz="8" w:color="FF4400"/>
            </w:tcBorders>
          </w:tcPr>
          <w:p>
            <w:pPr>
              <w:spacing w:after="0"/>
              <w:rPr>
                <w:sz w:val="17"/>
                <w:szCs w:val="17"/>
                <w:color w:val="auto"/>
              </w:rPr>
            </w:pPr>
          </w:p>
        </w:tc>
        <w:tc>
          <w:tcPr>
            <w:tcW w:w="1060" w:type="dxa"/>
            <w:vAlign w:val="bottom"/>
            <w:tcBorders>
              <w:bottom w:val="single" w:sz="8" w:color="FF4400"/>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275"/>
              <w:spacing w:after="0" w:line="143" w:lineRule="exact"/>
              <w:rPr>
                <w:sz w:val="20"/>
                <w:szCs w:val="20"/>
                <w:color w:val="auto"/>
              </w:rPr>
            </w:pPr>
            <w:r>
              <w:rPr>
                <w:rFonts w:ascii="Arial" w:cs="Arial" w:eastAsia="Arial" w:hAnsi="Arial"/>
                <w:sz w:val="14"/>
                <w:szCs w:val="14"/>
                <w:b w:val="1"/>
                <w:bCs w:val="1"/>
                <w:color w:val="auto"/>
              </w:rPr>
              <w:t>Electronic</w:t>
            </w:r>
          </w:p>
        </w:tc>
        <w:tc>
          <w:tcPr>
            <w:tcW w:w="1480" w:type="dxa"/>
            <w:vAlign w:val="bottom"/>
            <w:gridSpan w:val="2"/>
          </w:tcPr>
          <w:p>
            <w:pPr>
              <w:jc w:val="right"/>
              <w:ind w:right="35"/>
              <w:spacing w:after="0" w:line="143" w:lineRule="exact"/>
              <w:rPr>
                <w:sz w:val="20"/>
                <w:szCs w:val="20"/>
                <w:color w:val="auto"/>
              </w:rPr>
            </w:pPr>
            <w:r>
              <w:rPr>
                <w:rFonts w:ascii="Arial" w:cs="Arial" w:eastAsia="Arial" w:hAnsi="Arial"/>
                <w:sz w:val="14"/>
                <w:szCs w:val="14"/>
                <w:b w:val="1"/>
                <w:bCs w:val="1"/>
                <w:color w:val="auto"/>
              </w:rPr>
              <w:t>Engines &amp; Power</w:t>
            </w:r>
          </w:p>
        </w:tc>
        <w:tc>
          <w:tcPr>
            <w:tcW w:w="146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Control Systems</w:t>
            </w:r>
          </w:p>
        </w:tc>
        <w:tc>
          <w:tcPr>
            <w:tcW w:w="1480" w:type="dxa"/>
            <w:vAlign w:val="bottom"/>
            <w:gridSpan w:val="2"/>
          </w:tcPr>
          <w:p>
            <w:pPr>
              <w:ind w:left="160"/>
              <w:spacing w:after="0" w:line="143" w:lineRule="exact"/>
              <w:rPr>
                <w:sz w:val="20"/>
                <w:szCs w:val="20"/>
                <w:color w:val="auto"/>
              </w:rPr>
            </w:pPr>
            <w:r>
              <w:rPr>
                <w:rFonts w:ascii="Arial" w:cs="Arial" w:eastAsia="Arial" w:hAnsi="Arial"/>
                <w:sz w:val="14"/>
                <w:szCs w:val="14"/>
                <w:b w:val="1"/>
                <w:bCs w:val="1"/>
                <w:color w:val="auto"/>
              </w:rPr>
              <w:t>Corporate and All</w:t>
            </w:r>
          </w:p>
        </w:tc>
        <w:tc>
          <w:tcPr>
            <w:tcW w:w="380" w:type="dxa"/>
            <w:vAlign w:val="bottom"/>
          </w:tcPr>
          <w:p>
            <w:pPr>
              <w:spacing w:after="0"/>
              <w:rPr>
                <w:sz w:val="12"/>
                <w:szCs w:val="12"/>
                <w:color w:val="auto"/>
              </w:rPr>
            </w:pPr>
          </w:p>
        </w:tc>
        <w:tc>
          <w:tcPr>
            <w:tcW w:w="106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FF4400"/>
            </w:tcBorders>
          </w:tcPr>
          <w:p>
            <w:pPr>
              <w:spacing w:after="0"/>
              <w:rPr>
                <w:sz w:val="16"/>
                <w:szCs w:val="16"/>
                <w:color w:val="auto"/>
              </w:rPr>
            </w:pPr>
          </w:p>
        </w:tc>
        <w:tc>
          <w:tcPr>
            <w:tcW w:w="220" w:type="dxa"/>
            <w:vAlign w:val="bottom"/>
            <w:tcBorders>
              <w:bottom w:val="single" w:sz="8" w:color="FF4400"/>
            </w:tcBorders>
          </w:tcPr>
          <w:p>
            <w:pPr>
              <w:spacing w:after="0"/>
              <w:rPr>
                <w:sz w:val="16"/>
                <w:szCs w:val="16"/>
                <w:color w:val="auto"/>
              </w:rPr>
            </w:pPr>
          </w:p>
        </w:tc>
        <w:tc>
          <w:tcPr>
            <w:tcW w:w="1160" w:type="dxa"/>
            <w:vAlign w:val="bottom"/>
            <w:tcBorders>
              <w:bottom w:val="single" w:sz="8" w:color="FF4400"/>
            </w:tcBorders>
          </w:tcPr>
          <w:p>
            <w:pPr>
              <w:jc w:val="right"/>
              <w:ind w:right="295"/>
              <w:spacing w:after="0"/>
              <w:rPr>
                <w:sz w:val="20"/>
                <w:szCs w:val="20"/>
                <w:color w:val="auto"/>
              </w:rPr>
            </w:pPr>
            <w:r>
              <w:rPr>
                <w:rFonts w:ascii="Arial" w:cs="Arial" w:eastAsia="Arial" w:hAnsi="Arial"/>
                <w:sz w:val="14"/>
                <w:szCs w:val="14"/>
                <w:b w:val="1"/>
                <w:bCs w:val="1"/>
                <w:color w:val="auto"/>
              </w:rPr>
              <w:t>Solutions</w:t>
            </w:r>
          </w:p>
        </w:tc>
        <w:tc>
          <w:tcPr>
            <w:tcW w:w="340" w:type="dxa"/>
            <w:vAlign w:val="bottom"/>
            <w:tcBorders>
              <w:bottom w:val="single" w:sz="8" w:color="FF4400"/>
            </w:tcBorders>
          </w:tcPr>
          <w:p>
            <w:pPr>
              <w:spacing w:after="0"/>
              <w:rPr>
                <w:sz w:val="16"/>
                <w:szCs w:val="16"/>
                <w:color w:val="auto"/>
              </w:rPr>
            </w:pPr>
          </w:p>
        </w:tc>
        <w:tc>
          <w:tcPr>
            <w:tcW w:w="1140" w:type="dxa"/>
            <w:vAlign w:val="bottom"/>
            <w:tcBorders>
              <w:bottom w:val="single" w:sz="8" w:color="FF4400"/>
            </w:tcBorders>
          </w:tcPr>
          <w:p>
            <w:pPr>
              <w:jc w:val="right"/>
              <w:ind w:right="335"/>
              <w:spacing w:after="0"/>
              <w:rPr>
                <w:sz w:val="20"/>
                <w:szCs w:val="20"/>
                <w:color w:val="auto"/>
              </w:rPr>
            </w:pPr>
            <w:r>
              <w:rPr>
                <w:rFonts w:ascii="Arial" w:cs="Arial" w:eastAsia="Arial" w:hAnsi="Arial"/>
                <w:sz w:val="14"/>
                <w:szCs w:val="14"/>
                <w:b w:val="1"/>
                <w:bCs w:val="1"/>
                <w:color w:val="auto"/>
              </w:rPr>
              <w:t>Systems</w:t>
            </w:r>
          </w:p>
        </w:tc>
        <w:tc>
          <w:tcPr>
            <w:tcW w:w="1460" w:type="dxa"/>
            <w:vAlign w:val="bottom"/>
            <w:tcBorders>
              <w:bottom w:val="single" w:sz="8" w:color="FF4400"/>
            </w:tcBorders>
            <w:gridSpan w:val="2"/>
            <w:vMerge w:val="continue"/>
          </w:tcPr>
          <w:p>
            <w:pPr>
              <w:spacing w:after="0"/>
              <w:rPr>
                <w:sz w:val="16"/>
                <w:szCs w:val="16"/>
                <w:color w:val="auto"/>
              </w:rPr>
            </w:pPr>
          </w:p>
        </w:tc>
        <w:tc>
          <w:tcPr>
            <w:tcW w:w="1020" w:type="dxa"/>
            <w:vAlign w:val="bottom"/>
            <w:tcBorders>
              <w:bottom w:val="single" w:sz="8" w:color="FF4400"/>
            </w:tcBorders>
          </w:tcPr>
          <w:p>
            <w:pPr>
              <w:jc w:val="right"/>
              <w:spacing w:after="0"/>
              <w:rPr>
                <w:sz w:val="20"/>
                <w:szCs w:val="20"/>
                <w:color w:val="auto"/>
              </w:rPr>
            </w:pPr>
            <w:r>
              <w:rPr>
                <w:rFonts w:ascii="Arial" w:cs="Arial" w:eastAsia="Arial" w:hAnsi="Arial"/>
                <w:sz w:val="14"/>
                <w:szCs w:val="14"/>
                <w:b w:val="1"/>
                <w:bCs w:val="1"/>
                <w:color w:val="auto"/>
              </w:rPr>
              <w:t>Other</w:t>
            </w:r>
          </w:p>
        </w:tc>
        <w:tc>
          <w:tcPr>
            <w:tcW w:w="460" w:type="dxa"/>
            <w:vAlign w:val="bottom"/>
            <w:tcBorders>
              <w:bottom w:val="single" w:sz="8" w:color="FF4400"/>
            </w:tcBorders>
          </w:tcPr>
          <w:p>
            <w:pPr>
              <w:spacing w:after="0"/>
              <w:rPr>
                <w:sz w:val="16"/>
                <w:szCs w:val="16"/>
                <w:color w:val="auto"/>
              </w:rPr>
            </w:pPr>
          </w:p>
        </w:tc>
        <w:tc>
          <w:tcPr>
            <w:tcW w:w="380" w:type="dxa"/>
            <w:vAlign w:val="bottom"/>
            <w:tcBorders>
              <w:bottom w:val="single" w:sz="8" w:color="FF4400"/>
            </w:tcBorders>
          </w:tcPr>
          <w:p>
            <w:pPr>
              <w:spacing w:after="0"/>
              <w:rPr>
                <w:sz w:val="16"/>
                <w:szCs w:val="16"/>
                <w:color w:val="auto"/>
              </w:rPr>
            </w:pPr>
          </w:p>
        </w:tc>
        <w:tc>
          <w:tcPr>
            <w:tcW w:w="1060" w:type="dxa"/>
            <w:vAlign w:val="bottom"/>
            <w:tcBorders>
              <w:bottom w:val="single" w:sz="8" w:color="FF440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BFBFBF"/>
            </w:tcBorders>
          </w:tcPr>
          <w:p>
            <w:pPr>
              <w:jc w:val="right"/>
              <w:ind w:right="15"/>
              <w:spacing w:after="0"/>
              <w:rPr>
                <w:sz w:val="20"/>
                <w:szCs w:val="20"/>
                <w:color w:val="auto"/>
              </w:rPr>
            </w:pPr>
            <w:r>
              <w:rPr>
                <w:rFonts w:ascii="Arial" w:cs="Arial" w:eastAsia="Arial" w:hAnsi="Arial"/>
                <w:sz w:val="18"/>
                <w:szCs w:val="18"/>
                <w:color w:val="auto"/>
              </w:rPr>
              <w:t>5,299</w:t>
            </w:r>
          </w:p>
        </w:tc>
        <w:tc>
          <w:tcPr>
            <w:tcW w:w="340" w:type="dxa"/>
            <w:vAlign w:val="bottom"/>
            <w:tcBorders>
              <w:bottom w:val="single" w:sz="8" w:color="BFBFBF"/>
            </w:tcBorders>
          </w:tcPr>
          <w:p>
            <w:pPr>
              <w:jc w:val="right"/>
              <w:ind w:right="55"/>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FBFBF"/>
            </w:tcBorders>
          </w:tcPr>
          <w:p>
            <w:pPr>
              <w:jc w:val="right"/>
              <w:ind w:right="15"/>
              <w:spacing w:after="0"/>
              <w:rPr>
                <w:sz w:val="20"/>
                <w:szCs w:val="20"/>
                <w:color w:val="auto"/>
              </w:rPr>
            </w:pPr>
            <w:r>
              <w:rPr>
                <w:rFonts w:ascii="Arial" w:cs="Arial" w:eastAsia="Arial" w:hAnsi="Arial"/>
                <w:sz w:val="18"/>
                <w:szCs w:val="18"/>
                <w:color w:val="auto"/>
              </w:rPr>
              <w:t>4,341</w:t>
            </w:r>
          </w:p>
        </w:tc>
        <w:tc>
          <w:tcPr>
            <w:tcW w:w="540" w:type="dxa"/>
            <w:vAlign w:val="bottom"/>
            <w:tcBorders>
              <w:bottom w:val="single" w:sz="8" w:color="BFBFBF"/>
            </w:tcBorders>
          </w:tcPr>
          <w:p>
            <w:pPr>
              <w:jc w:val="right"/>
              <w:ind w:right="27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3,878</w:t>
            </w:r>
          </w:p>
        </w:tc>
        <w:tc>
          <w:tcPr>
            <w:tcW w:w="1020" w:type="dxa"/>
            <w:vAlign w:val="bottom"/>
            <w:tcBorders>
              <w:bottom w:val="single" w:sz="8" w:color="BFBFBF"/>
            </w:tcBorders>
          </w:tcPr>
          <w:p>
            <w:pPr>
              <w:spacing w:after="0"/>
              <w:rPr>
                <w:sz w:val="19"/>
                <w:szCs w:val="19"/>
                <w:color w:val="auto"/>
              </w:rPr>
            </w:pPr>
          </w:p>
        </w:tc>
        <w:tc>
          <w:tcPr>
            <w:tcW w:w="46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13,518</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spacing w:after="0"/>
              <w:rPr>
                <w:sz w:val="19"/>
                <w:szCs w:val="19"/>
                <w:color w:val="auto"/>
              </w:rPr>
            </w:pPr>
          </w:p>
        </w:tc>
        <w:tc>
          <w:tcPr>
            <w:tcW w:w="340" w:type="dxa"/>
            <w:vAlign w:val="bottom"/>
            <w:tcBorders>
              <w:bottom w:val="single" w:sz="8" w:color="BFBFBF"/>
            </w:tcBorders>
          </w:tcPr>
          <w:p>
            <w:pPr>
              <w:spacing w:after="0"/>
              <w:rPr>
                <w:sz w:val="19"/>
                <w:szCs w:val="19"/>
                <w:color w:val="auto"/>
              </w:rPr>
            </w:pPr>
          </w:p>
        </w:tc>
        <w:tc>
          <w:tcPr>
            <w:tcW w:w="1140" w:type="dxa"/>
            <w:vAlign w:val="bottom"/>
            <w:tcBorders>
              <w:bottom w:val="single" w:sz="8" w:color="BFBFBF"/>
            </w:tcBorders>
          </w:tcPr>
          <w:p>
            <w:pPr>
              <w:spacing w:after="0"/>
              <w:rPr>
                <w:sz w:val="19"/>
                <w:szCs w:val="19"/>
                <w:color w:val="auto"/>
              </w:rPr>
            </w:pPr>
          </w:p>
        </w:tc>
        <w:tc>
          <w:tcPr>
            <w:tcW w:w="54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spacing w:after="0"/>
              <w:rPr>
                <w:sz w:val="19"/>
                <w:szCs w:val="19"/>
                <w:color w:val="auto"/>
              </w:rPr>
            </w:pPr>
          </w:p>
        </w:tc>
        <w:tc>
          <w:tcPr>
            <w:tcW w:w="1020" w:type="dxa"/>
            <w:vAlign w:val="bottom"/>
            <w:tcBorders>
              <w:bottom w:val="single" w:sz="8" w:color="BFBFBF"/>
            </w:tcBorders>
          </w:tcPr>
          <w:p>
            <w:pPr>
              <w:spacing w:after="0"/>
              <w:rPr>
                <w:sz w:val="19"/>
                <w:szCs w:val="19"/>
                <w:color w:val="auto"/>
              </w:rPr>
            </w:pPr>
          </w:p>
        </w:tc>
        <w:tc>
          <w:tcPr>
            <w:tcW w:w="46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BFBFBF"/>
            </w:tcBorders>
          </w:tcPr>
          <w:p>
            <w:pPr>
              <w:ind w:left="140"/>
              <w:spacing w:after="0" w:line="223" w:lineRule="exact"/>
              <w:rPr>
                <w:sz w:val="20"/>
                <w:szCs w:val="20"/>
                <w:color w:val="auto"/>
              </w:rPr>
            </w:pPr>
            <w:r>
              <w:rPr>
                <w:rFonts w:ascii="Arial" w:cs="Arial" w:eastAsia="Arial" w:hAnsi="Arial"/>
                <w:sz w:val="18"/>
                <w:szCs w:val="18"/>
                <w:color w:val="auto"/>
              </w:rPr>
              <w:t>Cost of products and services sold</w:t>
            </w:r>
            <w:r>
              <w:rPr>
                <w:rFonts w:ascii="Arial" w:cs="Arial" w:eastAsia="Arial" w:hAnsi="Arial"/>
                <w:sz w:val="23"/>
                <w:szCs w:val="23"/>
                <w:color w:val="auto"/>
                <w:vertAlign w:val="superscript"/>
              </w:rPr>
              <w:t>(1)</w:t>
            </w:r>
          </w:p>
        </w:tc>
        <w:tc>
          <w:tcPr>
            <w:tcW w:w="22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ind w:right="15"/>
              <w:spacing w:after="0"/>
              <w:rPr>
                <w:sz w:val="20"/>
                <w:szCs w:val="20"/>
                <w:color w:val="auto"/>
              </w:rPr>
            </w:pPr>
            <w:r>
              <w:rPr>
                <w:rFonts w:ascii="Arial" w:cs="Arial" w:eastAsia="Arial" w:hAnsi="Arial"/>
                <w:sz w:val="18"/>
                <w:szCs w:val="18"/>
                <w:color w:val="auto"/>
              </w:rPr>
              <w:t>2,960</w:t>
            </w:r>
          </w:p>
        </w:tc>
        <w:tc>
          <w:tcPr>
            <w:tcW w:w="340" w:type="dxa"/>
            <w:vAlign w:val="bottom"/>
            <w:tcBorders>
              <w:bottom w:val="single" w:sz="8" w:color="BFBFBF"/>
            </w:tcBorders>
          </w:tcPr>
          <w:p>
            <w:pPr>
              <w:spacing w:after="0"/>
              <w:rPr>
                <w:sz w:val="19"/>
                <w:szCs w:val="19"/>
                <w:color w:val="auto"/>
              </w:rPr>
            </w:pPr>
          </w:p>
        </w:tc>
        <w:tc>
          <w:tcPr>
            <w:tcW w:w="1140" w:type="dxa"/>
            <w:vAlign w:val="bottom"/>
            <w:tcBorders>
              <w:bottom w:val="single" w:sz="8" w:color="BFBFBF"/>
            </w:tcBorders>
          </w:tcPr>
          <w:p>
            <w:pPr>
              <w:jc w:val="right"/>
              <w:ind w:right="15"/>
              <w:spacing w:after="0"/>
              <w:rPr>
                <w:sz w:val="20"/>
                <w:szCs w:val="20"/>
                <w:color w:val="auto"/>
              </w:rPr>
            </w:pPr>
            <w:r>
              <w:rPr>
                <w:rFonts w:ascii="Arial" w:cs="Arial" w:eastAsia="Arial" w:hAnsi="Arial"/>
                <w:sz w:val="18"/>
                <w:szCs w:val="18"/>
                <w:color w:val="auto"/>
              </w:rPr>
              <w:t>3,177</w:t>
            </w:r>
          </w:p>
        </w:tc>
        <w:tc>
          <w:tcPr>
            <w:tcW w:w="54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2,390</w:t>
            </w:r>
          </w:p>
        </w:tc>
        <w:tc>
          <w:tcPr>
            <w:tcW w:w="1020" w:type="dxa"/>
            <w:vAlign w:val="bottom"/>
            <w:tcBorders>
              <w:bottom w:val="single" w:sz="8" w:color="BFBFBF"/>
            </w:tcBorders>
          </w:tcPr>
          <w:p>
            <w:pPr>
              <w:spacing w:after="0"/>
              <w:rPr>
                <w:sz w:val="19"/>
                <w:szCs w:val="19"/>
                <w:color w:val="auto"/>
              </w:rPr>
            </w:pPr>
          </w:p>
        </w:tc>
        <w:tc>
          <w:tcPr>
            <w:tcW w:w="46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384348"/>
            </w:tcBorders>
          </w:tcPr>
          <w:p>
            <w:pPr>
              <w:ind w:left="140"/>
              <w:spacing w:after="0" w:line="223"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(2)</w:t>
            </w:r>
          </w:p>
        </w:tc>
        <w:tc>
          <w:tcPr>
            <w:tcW w:w="220" w:type="dxa"/>
            <w:vAlign w:val="bottom"/>
            <w:tcBorders>
              <w:bottom w:val="single" w:sz="8" w:color="384348"/>
            </w:tcBorders>
          </w:tcPr>
          <w:p>
            <w:pPr>
              <w:spacing w:after="0"/>
              <w:rPr>
                <w:sz w:val="19"/>
                <w:szCs w:val="19"/>
                <w:color w:val="auto"/>
              </w:rPr>
            </w:pPr>
          </w:p>
        </w:tc>
        <w:tc>
          <w:tcPr>
            <w:tcW w:w="1160" w:type="dxa"/>
            <w:vAlign w:val="bottom"/>
            <w:tcBorders>
              <w:bottom w:val="single" w:sz="8" w:color="384348"/>
            </w:tcBorders>
          </w:tcPr>
          <w:p>
            <w:pPr>
              <w:jc w:val="right"/>
              <w:ind w:right="15"/>
              <w:spacing w:after="0"/>
              <w:rPr>
                <w:sz w:val="20"/>
                <w:szCs w:val="20"/>
                <w:color w:val="auto"/>
              </w:rPr>
            </w:pPr>
            <w:r>
              <w:rPr>
                <w:rFonts w:ascii="Arial" w:cs="Arial" w:eastAsia="Arial" w:hAnsi="Arial"/>
                <w:sz w:val="18"/>
                <w:szCs w:val="18"/>
                <w:color w:val="auto"/>
              </w:rPr>
              <w:t>806</w:t>
            </w:r>
          </w:p>
        </w:tc>
        <w:tc>
          <w:tcPr>
            <w:tcW w:w="340" w:type="dxa"/>
            <w:vAlign w:val="bottom"/>
            <w:tcBorders>
              <w:bottom w:val="single" w:sz="8" w:color="384348"/>
            </w:tcBorders>
          </w:tcPr>
          <w:p>
            <w:pPr>
              <w:spacing w:after="0"/>
              <w:rPr>
                <w:sz w:val="19"/>
                <w:szCs w:val="19"/>
                <w:color w:val="auto"/>
              </w:rPr>
            </w:pPr>
          </w:p>
        </w:tc>
        <w:tc>
          <w:tcPr>
            <w:tcW w:w="1140" w:type="dxa"/>
            <w:vAlign w:val="bottom"/>
            <w:tcBorders>
              <w:bottom w:val="single" w:sz="8" w:color="384348"/>
            </w:tcBorders>
          </w:tcPr>
          <w:p>
            <w:pPr>
              <w:jc w:val="right"/>
              <w:ind w:right="15"/>
              <w:spacing w:after="0"/>
              <w:rPr>
                <w:sz w:val="20"/>
                <w:szCs w:val="20"/>
                <w:color w:val="auto"/>
              </w:rPr>
            </w:pPr>
            <w:r>
              <w:rPr>
                <w:rFonts w:ascii="Arial" w:cs="Arial" w:eastAsia="Arial" w:hAnsi="Arial"/>
                <w:sz w:val="18"/>
                <w:szCs w:val="18"/>
                <w:color w:val="auto"/>
              </w:rPr>
              <w:t>459</w:t>
            </w:r>
          </w:p>
        </w:tc>
        <w:tc>
          <w:tcPr>
            <w:tcW w:w="540" w:type="dxa"/>
            <w:vAlign w:val="bottom"/>
            <w:tcBorders>
              <w:bottom w:val="single" w:sz="8" w:color="384348"/>
            </w:tcBorders>
          </w:tcPr>
          <w:p>
            <w:pPr>
              <w:spacing w:after="0"/>
              <w:rPr>
                <w:sz w:val="19"/>
                <w:szCs w:val="19"/>
                <w:color w:val="auto"/>
              </w:rPr>
            </w:pPr>
          </w:p>
        </w:tc>
        <w:tc>
          <w:tcPr>
            <w:tcW w:w="92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color w:val="auto"/>
              </w:rPr>
              <w:t>390</w:t>
            </w:r>
          </w:p>
        </w:tc>
        <w:tc>
          <w:tcPr>
            <w:tcW w:w="1020" w:type="dxa"/>
            <w:vAlign w:val="bottom"/>
            <w:tcBorders>
              <w:bottom w:val="single" w:sz="8" w:color="384348"/>
            </w:tcBorders>
          </w:tcPr>
          <w:p>
            <w:pPr>
              <w:spacing w:after="0"/>
              <w:rPr>
                <w:sz w:val="19"/>
                <w:szCs w:val="19"/>
                <w:color w:val="auto"/>
              </w:rPr>
            </w:pPr>
          </w:p>
        </w:tc>
        <w:tc>
          <w:tcPr>
            <w:tcW w:w="460" w:type="dxa"/>
            <w:vAlign w:val="bottom"/>
            <w:tcBorders>
              <w:bottom w:val="single" w:sz="8" w:color="384348"/>
            </w:tcBorders>
          </w:tcPr>
          <w:p>
            <w:pPr>
              <w:spacing w:after="0"/>
              <w:rPr>
                <w:sz w:val="19"/>
                <w:szCs w:val="19"/>
                <w:color w:val="auto"/>
              </w:rPr>
            </w:pPr>
          </w:p>
        </w:tc>
        <w:tc>
          <w:tcPr>
            <w:tcW w:w="38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Total segment profit</w:t>
            </w:r>
          </w:p>
        </w:tc>
        <w:tc>
          <w:tcPr>
            <w:tcW w:w="22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384348"/>
            </w:tcBorders>
          </w:tcPr>
          <w:p>
            <w:pPr>
              <w:jc w:val="right"/>
              <w:ind w:right="15"/>
              <w:spacing w:after="0"/>
              <w:rPr>
                <w:sz w:val="20"/>
                <w:szCs w:val="20"/>
                <w:color w:val="auto"/>
              </w:rPr>
            </w:pPr>
            <w:r>
              <w:rPr>
                <w:rFonts w:ascii="Arial" w:cs="Arial" w:eastAsia="Arial" w:hAnsi="Arial"/>
                <w:sz w:val="18"/>
                <w:szCs w:val="18"/>
                <w:b w:val="1"/>
                <w:bCs w:val="1"/>
                <w:color w:val="auto"/>
              </w:rPr>
              <w:t>1,533</w:t>
            </w:r>
          </w:p>
        </w:tc>
        <w:tc>
          <w:tcPr>
            <w:tcW w:w="340" w:type="dxa"/>
            <w:vAlign w:val="bottom"/>
            <w:tcBorders>
              <w:bottom w:val="single" w:sz="8" w:color="384348"/>
            </w:tcBorders>
          </w:tcPr>
          <w:p>
            <w:pPr>
              <w:jc w:val="right"/>
              <w:ind w:right="55"/>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384348"/>
            </w:tcBorders>
          </w:tcPr>
          <w:p>
            <w:pPr>
              <w:jc w:val="right"/>
              <w:ind w:right="15"/>
              <w:spacing w:after="0"/>
              <w:rPr>
                <w:sz w:val="20"/>
                <w:szCs w:val="20"/>
                <w:color w:val="auto"/>
              </w:rPr>
            </w:pPr>
            <w:r>
              <w:rPr>
                <w:rFonts w:ascii="Arial" w:cs="Arial" w:eastAsia="Arial" w:hAnsi="Arial"/>
                <w:sz w:val="18"/>
                <w:szCs w:val="18"/>
                <w:b w:val="1"/>
                <w:bCs w:val="1"/>
                <w:color w:val="auto"/>
              </w:rPr>
              <w:t>705</w:t>
            </w:r>
          </w:p>
        </w:tc>
        <w:tc>
          <w:tcPr>
            <w:tcW w:w="540" w:type="dxa"/>
            <w:vAlign w:val="bottom"/>
            <w:tcBorders>
              <w:bottom w:val="single" w:sz="8" w:color="384348"/>
            </w:tcBorders>
          </w:tcPr>
          <w:p>
            <w:pPr>
              <w:jc w:val="right"/>
              <w:ind w:right="275"/>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1,098</w:t>
            </w:r>
          </w:p>
        </w:tc>
        <w:tc>
          <w:tcPr>
            <w:tcW w:w="1020" w:type="dxa"/>
            <w:vAlign w:val="bottom"/>
            <w:tcBorders>
              <w:bottom w:val="single" w:sz="8" w:color="384348"/>
            </w:tcBorders>
          </w:tcPr>
          <w:p>
            <w:pPr>
              <w:jc w:val="right"/>
              <w:ind w:right="759"/>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(85)</w:t>
            </w:r>
          </w:p>
        </w:tc>
        <w:tc>
          <w:tcPr>
            <w:tcW w:w="380" w:type="dxa"/>
            <w:vAlign w:val="bottom"/>
            <w:tcBorders>
              <w:bottom w:val="single" w:sz="8" w:color="384348"/>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3,251</w:t>
            </w:r>
          </w:p>
        </w:tc>
        <w:tc>
          <w:tcPr>
            <w:tcW w:w="0" w:type="dxa"/>
            <w:vAlign w:val="bottom"/>
          </w:tcPr>
          <w:p>
            <w:pPr>
              <w:spacing w:after="0"/>
              <w:rPr>
                <w:sz w:val="1"/>
                <w:szCs w:val="1"/>
                <w:color w:val="auto"/>
              </w:rPr>
            </w:pPr>
          </w:p>
        </w:tc>
      </w:tr>
      <w:tr>
        <w:trPr>
          <w:trHeight w:val="142"/>
        </w:trPr>
        <w:tc>
          <w:tcPr>
            <w:tcW w:w="3680" w:type="dxa"/>
            <w:vAlign w:val="bottom"/>
            <w:tcBorders>
              <w:bottom w:val="single" w:sz="8" w:color="BFBFBF"/>
            </w:tcBorders>
          </w:tcPr>
          <w:p>
            <w:pPr>
              <w:spacing w:after="0"/>
              <w:rPr>
                <w:sz w:val="12"/>
                <w:szCs w:val="12"/>
                <w:color w:val="auto"/>
              </w:rPr>
            </w:pPr>
          </w:p>
        </w:tc>
        <w:tc>
          <w:tcPr>
            <w:tcW w:w="220" w:type="dxa"/>
            <w:vAlign w:val="bottom"/>
            <w:tcBorders>
              <w:bottom w:val="single" w:sz="8" w:color="BFBFBF"/>
            </w:tcBorders>
          </w:tcPr>
          <w:p>
            <w:pPr>
              <w:spacing w:after="0"/>
              <w:rPr>
                <w:sz w:val="12"/>
                <w:szCs w:val="12"/>
                <w:color w:val="auto"/>
              </w:rPr>
            </w:pPr>
          </w:p>
        </w:tc>
        <w:tc>
          <w:tcPr>
            <w:tcW w:w="1160" w:type="dxa"/>
            <w:vAlign w:val="bottom"/>
            <w:tcBorders>
              <w:bottom w:val="single" w:sz="8" w:color="BFBFBF"/>
            </w:tcBorders>
          </w:tcPr>
          <w:p>
            <w:pPr>
              <w:spacing w:after="0"/>
              <w:rPr>
                <w:sz w:val="12"/>
                <w:szCs w:val="12"/>
                <w:color w:val="auto"/>
              </w:rPr>
            </w:pPr>
          </w:p>
        </w:tc>
        <w:tc>
          <w:tcPr>
            <w:tcW w:w="340" w:type="dxa"/>
            <w:vAlign w:val="bottom"/>
            <w:tcBorders>
              <w:bottom w:val="single" w:sz="8" w:color="BFBFBF"/>
            </w:tcBorders>
          </w:tcPr>
          <w:p>
            <w:pPr>
              <w:spacing w:after="0"/>
              <w:rPr>
                <w:sz w:val="12"/>
                <w:szCs w:val="12"/>
                <w:color w:val="auto"/>
              </w:rPr>
            </w:pPr>
          </w:p>
        </w:tc>
        <w:tc>
          <w:tcPr>
            <w:tcW w:w="1140" w:type="dxa"/>
            <w:vAlign w:val="bottom"/>
            <w:tcBorders>
              <w:bottom w:val="single" w:sz="8" w:color="BFBFBF"/>
            </w:tcBorders>
          </w:tcPr>
          <w:p>
            <w:pPr>
              <w:spacing w:after="0"/>
              <w:rPr>
                <w:sz w:val="12"/>
                <w:szCs w:val="12"/>
                <w:color w:val="auto"/>
              </w:rPr>
            </w:pPr>
          </w:p>
        </w:tc>
        <w:tc>
          <w:tcPr>
            <w:tcW w:w="540" w:type="dxa"/>
            <w:vAlign w:val="bottom"/>
            <w:tcBorders>
              <w:bottom w:val="single" w:sz="8" w:color="BFBFBF"/>
            </w:tcBorders>
          </w:tcPr>
          <w:p>
            <w:pPr>
              <w:spacing w:after="0"/>
              <w:rPr>
                <w:sz w:val="12"/>
                <w:szCs w:val="12"/>
                <w:color w:val="auto"/>
              </w:rPr>
            </w:pPr>
          </w:p>
        </w:tc>
        <w:tc>
          <w:tcPr>
            <w:tcW w:w="920" w:type="dxa"/>
            <w:vAlign w:val="bottom"/>
            <w:tcBorders>
              <w:bottom w:val="single" w:sz="8" w:color="BFBFBF"/>
            </w:tcBorders>
          </w:tcPr>
          <w:p>
            <w:pPr>
              <w:spacing w:after="0"/>
              <w:rPr>
                <w:sz w:val="12"/>
                <w:szCs w:val="12"/>
                <w:color w:val="auto"/>
              </w:rPr>
            </w:pPr>
          </w:p>
        </w:tc>
        <w:tc>
          <w:tcPr>
            <w:tcW w:w="1020" w:type="dxa"/>
            <w:vAlign w:val="bottom"/>
            <w:tcBorders>
              <w:bottom w:val="single" w:sz="8" w:color="BFBFBF"/>
            </w:tcBorders>
          </w:tcPr>
          <w:p>
            <w:pPr>
              <w:spacing w:after="0"/>
              <w:rPr>
                <w:sz w:val="12"/>
                <w:szCs w:val="12"/>
                <w:color w:val="auto"/>
              </w:rPr>
            </w:pPr>
          </w:p>
        </w:tc>
        <w:tc>
          <w:tcPr>
            <w:tcW w:w="460" w:type="dxa"/>
            <w:vAlign w:val="bottom"/>
            <w:tcBorders>
              <w:bottom w:val="single" w:sz="8" w:color="BFBFBF"/>
            </w:tcBorders>
          </w:tcPr>
          <w:p>
            <w:pPr>
              <w:spacing w:after="0"/>
              <w:rPr>
                <w:sz w:val="12"/>
                <w:szCs w:val="12"/>
                <w:color w:val="auto"/>
              </w:rPr>
            </w:pPr>
          </w:p>
        </w:tc>
        <w:tc>
          <w:tcPr>
            <w:tcW w:w="380" w:type="dxa"/>
            <w:vAlign w:val="bottom"/>
            <w:tcBorders>
              <w:bottom w:val="single" w:sz="8" w:color="BFBFBF"/>
            </w:tcBorders>
          </w:tcPr>
          <w:p>
            <w:pPr>
              <w:spacing w:after="0"/>
              <w:rPr>
                <w:sz w:val="12"/>
                <w:szCs w:val="12"/>
                <w:color w:val="auto"/>
              </w:rPr>
            </w:pPr>
          </w:p>
        </w:tc>
        <w:tc>
          <w:tcPr>
            <w:tcW w:w="1060" w:type="dxa"/>
            <w:vAlign w:val="bottom"/>
            <w:tcBorders>
              <w:bottom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BFBFBF"/>
            </w:tcBorders>
          </w:tcPr>
          <w:p>
            <w:pPr>
              <w:jc w:val="right"/>
              <w:ind w:right="15"/>
              <w:spacing w:after="0"/>
              <w:rPr>
                <w:sz w:val="20"/>
                <w:szCs w:val="20"/>
                <w:color w:val="auto"/>
              </w:rPr>
            </w:pPr>
            <w:r>
              <w:rPr>
                <w:rFonts w:ascii="Arial" w:cs="Arial" w:eastAsia="Arial" w:hAnsi="Arial"/>
                <w:sz w:val="18"/>
                <w:szCs w:val="18"/>
                <w:color w:val="auto"/>
              </w:rPr>
              <w:t>98</w:t>
            </w:r>
          </w:p>
        </w:tc>
        <w:tc>
          <w:tcPr>
            <w:tcW w:w="340" w:type="dxa"/>
            <w:vAlign w:val="bottom"/>
            <w:tcBorders>
              <w:bottom w:val="single" w:sz="8" w:color="BFBFBF"/>
            </w:tcBorders>
          </w:tcPr>
          <w:p>
            <w:pPr>
              <w:jc w:val="right"/>
              <w:ind w:right="55"/>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FBFBF"/>
            </w:tcBorders>
          </w:tcPr>
          <w:p>
            <w:pPr>
              <w:jc w:val="right"/>
              <w:ind w:right="15"/>
              <w:spacing w:after="0"/>
              <w:rPr>
                <w:sz w:val="20"/>
                <w:szCs w:val="20"/>
                <w:color w:val="auto"/>
              </w:rPr>
            </w:pPr>
            <w:r>
              <w:rPr>
                <w:rFonts w:ascii="Arial" w:cs="Arial" w:eastAsia="Arial" w:hAnsi="Arial"/>
                <w:sz w:val="18"/>
                <w:szCs w:val="18"/>
                <w:color w:val="auto"/>
              </w:rPr>
              <w:t>104</w:t>
            </w:r>
          </w:p>
        </w:tc>
        <w:tc>
          <w:tcPr>
            <w:tcW w:w="540" w:type="dxa"/>
            <w:vAlign w:val="bottom"/>
            <w:tcBorders>
              <w:bottom w:val="single" w:sz="8" w:color="BFBFBF"/>
            </w:tcBorders>
          </w:tcPr>
          <w:p>
            <w:pPr>
              <w:jc w:val="right"/>
              <w:ind w:right="27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81</w:t>
            </w:r>
          </w:p>
        </w:tc>
        <w:tc>
          <w:tcPr>
            <w:tcW w:w="1020" w:type="dxa"/>
            <w:vAlign w:val="bottom"/>
            <w:tcBorders>
              <w:bottom w:val="single" w:sz="8" w:color="BFBFBF"/>
            </w:tcBorders>
          </w:tcPr>
          <w:p>
            <w:pPr>
              <w:jc w:val="right"/>
              <w:ind w:right="75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BFBFBF"/>
            </w:tcBorders>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BFBFBF"/>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55"/>
        </w:trPr>
        <w:tc>
          <w:tcPr>
            <w:tcW w:w="3680" w:type="dxa"/>
            <w:vAlign w:val="bottom"/>
          </w:tcPr>
          <w:p>
            <w:pPr>
              <w:spacing w:after="0"/>
              <w:rPr>
                <w:sz w:val="20"/>
                <w:szCs w:val="20"/>
                <w:color w:val="auto"/>
              </w:rPr>
            </w:pPr>
            <w:r>
              <w:rPr>
                <w:rFonts w:ascii="Arial" w:cs="Arial" w:eastAsia="Arial" w:hAnsi="Arial"/>
                <w:sz w:val="14"/>
                <w:szCs w:val="14"/>
                <w:color w:val="auto"/>
              </w:rPr>
              <w:t>__________________</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exclude acquisition-related intangibles amortization, repositioning charges, and environmental expenses.</w:t>
      </w:r>
    </w:p>
    <w:p>
      <w:pPr>
        <w:spacing w:after="0" w:line="14" w:lineRule="exact"/>
        <w:rPr>
          <w:rFonts w:ascii="Arial" w:cs="Arial" w:eastAsia="Arial" w:hAnsi="Arial"/>
          <w:sz w:val="14"/>
          <w:szCs w:val="14"/>
          <w:color w:val="auto"/>
        </w:rPr>
      </w:pPr>
    </w:p>
    <w:p>
      <w:pPr>
        <w:ind w:left="340" w:hanging="332"/>
        <w:spacing w:after="0" w:line="284" w:lineRule="auto"/>
        <w:tabs>
          <w:tab w:leader="none" w:pos="338"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each reportable segment, the other segment items category includes corporate allocations, equity income of affiliated companies, Selling, general and administrative, and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40" w:type="dxa"/>
            <w:vAlign w:val="bottom"/>
          </w:tcPr>
          <w:p>
            <w:pPr>
              <w:spacing w:after="0"/>
              <w:rPr>
                <w:sz w:val="17"/>
                <w:szCs w:val="17"/>
                <w:color w:val="auto"/>
              </w:rPr>
            </w:pPr>
          </w:p>
        </w:tc>
        <w:tc>
          <w:tcPr>
            <w:tcW w:w="500" w:type="dxa"/>
            <w:vAlign w:val="bottom"/>
            <w:tcBorders>
              <w:bottom w:val="single" w:sz="8" w:color="FF4400"/>
            </w:tcBorders>
          </w:tcPr>
          <w:p>
            <w:pPr>
              <w:spacing w:after="0"/>
              <w:rPr>
                <w:sz w:val="17"/>
                <w:szCs w:val="17"/>
                <w:color w:val="auto"/>
              </w:rPr>
            </w:pPr>
          </w:p>
        </w:tc>
        <w:tc>
          <w:tcPr>
            <w:tcW w:w="980" w:type="dxa"/>
            <w:vAlign w:val="bottom"/>
            <w:tcBorders>
              <w:bottom w:val="single" w:sz="8" w:color="FF4400"/>
            </w:tcBorders>
          </w:tcPr>
          <w:p>
            <w:pPr>
              <w:spacing w:after="0"/>
              <w:rPr>
                <w:sz w:val="17"/>
                <w:szCs w:val="17"/>
                <w:color w:val="auto"/>
              </w:rPr>
            </w:pPr>
          </w:p>
        </w:tc>
        <w:tc>
          <w:tcPr>
            <w:tcW w:w="160" w:type="dxa"/>
            <w:vAlign w:val="bottom"/>
            <w:tcBorders>
              <w:bottom w:val="single" w:sz="8" w:color="FF4400"/>
            </w:tcBorders>
          </w:tcPr>
          <w:p>
            <w:pPr>
              <w:spacing w:after="0"/>
              <w:rPr>
                <w:sz w:val="17"/>
                <w:szCs w:val="17"/>
                <w:color w:val="auto"/>
              </w:rPr>
            </w:pPr>
          </w:p>
        </w:tc>
        <w:tc>
          <w:tcPr>
            <w:tcW w:w="3900" w:type="dxa"/>
            <w:vAlign w:val="bottom"/>
            <w:tcBorders>
              <w:bottom w:val="single" w:sz="8" w:color="FF4400"/>
            </w:tcBorders>
            <w:gridSpan w:val="4"/>
          </w:tcPr>
          <w:p>
            <w:pPr>
              <w:jc w:val="right"/>
              <w:ind w:right="339"/>
              <w:spacing w:after="0"/>
              <w:rPr>
                <w:sz w:val="20"/>
                <w:szCs w:val="20"/>
                <w:color w:val="auto"/>
              </w:rPr>
            </w:pPr>
            <w:r>
              <w:rPr>
                <w:rFonts w:ascii="Arial" w:cs="Arial" w:eastAsia="Arial" w:hAnsi="Arial"/>
                <w:sz w:val="14"/>
                <w:szCs w:val="14"/>
                <w:b w:val="1"/>
                <w:bCs w:val="1"/>
                <w:color w:val="auto"/>
              </w:rPr>
              <w:t>Nine Months Ended September 27, 2025</w:t>
            </w:r>
          </w:p>
        </w:tc>
        <w:tc>
          <w:tcPr>
            <w:tcW w:w="480" w:type="dxa"/>
            <w:vAlign w:val="bottom"/>
            <w:tcBorders>
              <w:bottom w:val="single" w:sz="8" w:color="FF4400"/>
            </w:tcBorders>
          </w:tcPr>
          <w:p>
            <w:pPr>
              <w:spacing w:after="0"/>
              <w:rPr>
                <w:sz w:val="17"/>
                <w:szCs w:val="17"/>
                <w:color w:val="auto"/>
              </w:rPr>
            </w:pPr>
          </w:p>
        </w:tc>
        <w:tc>
          <w:tcPr>
            <w:tcW w:w="380" w:type="dxa"/>
            <w:vAlign w:val="bottom"/>
            <w:tcBorders>
              <w:bottom w:val="single" w:sz="8" w:color="FF4400"/>
            </w:tcBorders>
          </w:tcPr>
          <w:p>
            <w:pPr>
              <w:spacing w:after="0"/>
              <w:rPr>
                <w:sz w:val="17"/>
                <w:szCs w:val="17"/>
                <w:color w:val="auto"/>
              </w:rPr>
            </w:pPr>
          </w:p>
        </w:tc>
        <w:tc>
          <w:tcPr>
            <w:tcW w:w="1100" w:type="dxa"/>
            <w:vAlign w:val="bottom"/>
            <w:tcBorders>
              <w:bottom w:val="single" w:sz="8" w:color="FF4400"/>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74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Electronic Solutions</w:t>
            </w:r>
          </w:p>
        </w:tc>
        <w:tc>
          <w:tcPr>
            <w:tcW w:w="160" w:type="dxa"/>
            <w:vAlign w:val="bottom"/>
          </w:tcPr>
          <w:p>
            <w:pPr>
              <w:spacing w:after="0"/>
              <w:rPr>
                <w:sz w:val="12"/>
                <w:szCs w:val="12"/>
                <w:color w:val="auto"/>
              </w:rPr>
            </w:pPr>
          </w:p>
        </w:tc>
        <w:tc>
          <w:tcPr>
            <w:tcW w:w="1320" w:type="dxa"/>
            <w:vAlign w:val="bottom"/>
          </w:tcPr>
          <w:p>
            <w:pPr>
              <w:jc w:val="right"/>
              <w:ind w:right="57"/>
              <w:spacing w:after="0" w:line="147" w:lineRule="exact"/>
              <w:rPr>
                <w:sz w:val="20"/>
                <w:szCs w:val="20"/>
                <w:color w:val="auto"/>
              </w:rPr>
            </w:pPr>
            <w:r>
              <w:rPr>
                <w:rFonts w:ascii="Arial" w:cs="Arial" w:eastAsia="Arial" w:hAnsi="Arial"/>
                <w:sz w:val="14"/>
                <w:szCs w:val="14"/>
                <w:b w:val="1"/>
                <w:bCs w:val="1"/>
                <w:color w:val="auto"/>
              </w:rPr>
              <w:t>Engines &amp; Power</w:t>
            </w:r>
          </w:p>
        </w:tc>
        <w:tc>
          <w:tcPr>
            <w:tcW w:w="200" w:type="dxa"/>
            <w:vAlign w:val="bottom"/>
          </w:tcPr>
          <w:p>
            <w:pPr>
              <w:spacing w:after="0"/>
              <w:rPr>
                <w:sz w:val="12"/>
                <w:szCs w:val="12"/>
                <w:color w:val="auto"/>
              </w:rPr>
            </w:pPr>
          </w:p>
        </w:tc>
        <w:tc>
          <w:tcPr>
            <w:tcW w:w="13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Control Systems</w:t>
            </w:r>
          </w:p>
        </w:tc>
        <w:tc>
          <w:tcPr>
            <w:tcW w:w="156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Corporate and All</w:t>
            </w:r>
          </w:p>
        </w:tc>
        <w:tc>
          <w:tcPr>
            <w:tcW w:w="380" w:type="dxa"/>
            <w:vAlign w:val="bottom"/>
          </w:tcPr>
          <w:p>
            <w:pPr>
              <w:spacing w:after="0"/>
              <w:rPr>
                <w:sz w:val="12"/>
                <w:szCs w:val="12"/>
                <w:color w:val="auto"/>
              </w:rPr>
            </w:pPr>
          </w:p>
        </w:tc>
        <w:tc>
          <w:tcPr>
            <w:tcW w:w="110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FF4400"/>
            </w:tcBorders>
          </w:tcPr>
          <w:p>
            <w:pPr>
              <w:spacing w:after="0"/>
              <w:rPr>
                <w:sz w:val="16"/>
                <w:szCs w:val="16"/>
                <w:color w:val="auto"/>
              </w:rPr>
            </w:pPr>
          </w:p>
        </w:tc>
        <w:tc>
          <w:tcPr>
            <w:tcW w:w="1480" w:type="dxa"/>
            <w:vAlign w:val="bottom"/>
            <w:tcBorders>
              <w:bottom w:val="single" w:sz="8" w:color="FF4400"/>
            </w:tcBorders>
            <w:gridSpan w:val="2"/>
            <w:vMerge w:val="continue"/>
          </w:tcPr>
          <w:p>
            <w:pPr>
              <w:spacing w:after="0"/>
              <w:rPr>
                <w:sz w:val="16"/>
                <w:szCs w:val="16"/>
                <w:color w:val="auto"/>
              </w:rPr>
            </w:pPr>
          </w:p>
        </w:tc>
        <w:tc>
          <w:tcPr>
            <w:tcW w:w="160" w:type="dxa"/>
            <w:vAlign w:val="bottom"/>
            <w:tcBorders>
              <w:bottom w:val="single" w:sz="8" w:color="FF4400"/>
            </w:tcBorders>
          </w:tcPr>
          <w:p>
            <w:pPr>
              <w:spacing w:after="0"/>
              <w:rPr>
                <w:sz w:val="16"/>
                <w:szCs w:val="16"/>
                <w:color w:val="auto"/>
              </w:rPr>
            </w:pPr>
          </w:p>
        </w:tc>
        <w:tc>
          <w:tcPr>
            <w:tcW w:w="1320" w:type="dxa"/>
            <w:vAlign w:val="bottom"/>
            <w:tcBorders>
              <w:bottom w:val="single" w:sz="8" w:color="FF4400"/>
            </w:tcBorders>
          </w:tcPr>
          <w:p>
            <w:pPr>
              <w:jc w:val="right"/>
              <w:ind w:right="357"/>
              <w:spacing w:after="0"/>
              <w:rPr>
                <w:sz w:val="20"/>
                <w:szCs w:val="20"/>
                <w:color w:val="auto"/>
              </w:rPr>
            </w:pPr>
            <w:r>
              <w:rPr>
                <w:rFonts w:ascii="Arial" w:cs="Arial" w:eastAsia="Arial" w:hAnsi="Arial"/>
                <w:sz w:val="14"/>
                <w:szCs w:val="14"/>
                <w:b w:val="1"/>
                <w:bCs w:val="1"/>
                <w:color w:val="auto"/>
              </w:rPr>
              <w:t>Systems</w:t>
            </w:r>
          </w:p>
        </w:tc>
        <w:tc>
          <w:tcPr>
            <w:tcW w:w="200" w:type="dxa"/>
            <w:vAlign w:val="bottom"/>
            <w:tcBorders>
              <w:bottom w:val="single" w:sz="8" w:color="FF4400"/>
            </w:tcBorders>
          </w:tcPr>
          <w:p>
            <w:pPr>
              <w:spacing w:after="0"/>
              <w:rPr>
                <w:sz w:val="16"/>
                <w:szCs w:val="16"/>
                <w:color w:val="auto"/>
              </w:rPr>
            </w:pPr>
          </w:p>
        </w:tc>
        <w:tc>
          <w:tcPr>
            <w:tcW w:w="1300" w:type="dxa"/>
            <w:vAlign w:val="bottom"/>
            <w:tcBorders>
              <w:bottom w:val="single" w:sz="8" w:color="FF4400"/>
            </w:tcBorders>
            <w:vMerge w:val="continue"/>
          </w:tcPr>
          <w:p>
            <w:pPr>
              <w:spacing w:after="0"/>
              <w:rPr>
                <w:sz w:val="16"/>
                <w:szCs w:val="16"/>
                <w:color w:val="auto"/>
              </w:rPr>
            </w:pPr>
          </w:p>
        </w:tc>
        <w:tc>
          <w:tcPr>
            <w:tcW w:w="1080" w:type="dxa"/>
            <w:vAlign w:val="bottom"/>
            <w:tcBorders>
              <w:bottom w:val="single" w:sz="8" w:color="FF4400"/>
            </w:tcBorders>
          </w:tcPr>
          <w:p>
            <w:pPr>
              <w:jc w:val="right"/>
              <w:spacing w:after="0"/>
              <w:rPr>
                <w:sz w:val="20"/>
                <w:szCs w:val="20"/>
                <w:color w:val="auto"/>
              </w:rPr>
            </w:pPr>
            <w:r>
              <w:rPr>
                <w:rFonts w:ascii="Arial" w:cs="Arial" w:eastAsia="Arial" w:hAnsi="Arial"/>
                <w:sz w:val="14"/>
                <w:szCs w:val="14"/>
                <w:b w:val="1"/>
                <w:bCs w:val="1"/>
                <w:color w:val="auto"/>
              </w:rPr>
              <w:t>Other</w:t>
            </w:r>
          </w:p>
        </w:tc>
        <w:tc>
          <w:tcPr>
            <w:tcW w:w="480" w:type="dxa"/>
            <w:vAlign w:val="bottom"/>
            <w:tcBorders>
              <w:bottom w:val="single" w:sz="8" w:color="FF4400"/>
            </w:tcBorders>
          </w:tcPr>
          <w:p>
            <w:pPr>
              <w:spacing w:after="0"/>
              <w:rPr>
                <w:sz w:val="16"/>
                <w:szCs w:val="16"/>
                <w:color w:val="auto"/>
              </w:rPr>
            </w:pPr>
          </w:p>
        </w:tc>
        <w:tc>
          <w:tcPr>
            <w:tcW w:w="380" w:type="dxa"/>
            <w:vAlign w:val="bottom"/>
            <w:tcBorders>
              <w:bottom w:val="single" w:sz="8" w:color="FF4400"/>
            </w:tcBorders>
          </w:tcPr>
          <w:p>
            <w:pPr>
              <w:spacing w:after="0"/>
              <w:rPr>
                <w:sz w:val="16"/>
                <w:szCs w:val="16"/>
                <w:color w:val="auto"/>
              </w:rPr>
            </w:pPr>
          </w:p>
        </w:tc>
        <w:tc>
          <w:tcPr>
            <w:tcW w:w="1100" w:type="dxa"/>
            <w:vAlign w:val="bottom"/>
            <w:tcBorders>
              <w:bottom w:val="single" w:sz="8" w:color="FF440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BFBFBF"/>
            </w:tcBorders>
          </w:tcPr>
          <w:p>
            <w:pPr>
              <w:jc w:val="right"/>
              <w:ind w:right="50"/>
              <w:spacing w:after="0"/>
              <w:rPr>
                <w:sz w:val="20"/>
                <w:szCs w:val="20"/>
                <w:color w:val="auto"/>
              </w:rPr>
            </w:pPr>
            <w:r>
              <w:rPr>
                <w:rFonts w:ascii="Arial" w:cs="Arial" w:eastAsia="Arial" w:hAnsi="Arial"/>
                <w:sz w:val="18"/>
                <w:szCs w:val="18"/>
                <w:color w:val="auto"/>
              </w:rPr>
              <w:t>4,903</w:t>
            </w:r>
          </w:p>
        </w:tc>
        <w:tc>
          <w:tcPr>
            <w:tcW w:w="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FBFBF"/>
            </w:tcBorders>
          </w:tcPr>
          <w:p>
            <w:pPr>
              <w:jc w:val="right"/>
              <w:ind w:right="17"/>
              <w:spacing w:after="0"/>
              <w:rPr>
                <w:sz w:val="20"/>
                <w:szCs w:val="20"/>
                <w:color w:val="auto"/>
              </w:rPr>
            </w:pPr>
            <w:r>
              <w:rPr>
                <w:rFonts w:ascii="Arial" w:cs="Arial" w:eastAsia="Arial" w:hAnsi="Arial"/>
                <w:sz w:val="18"/>
                <w:szCs w:val="18"/>
                <w:color w:val="auto"/>
              </w:rPr>
              <w:t>4,142</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3,851</w:t>
            </w:r>
          </w:p>
        </w:tc>
        <w:tc>
          <w:tcPr>
            <w:tcW w:w="10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Less</w:t>
            </w:r>
          </w:p>
        </w:tc>
        <w:tc>
          <w:tcPr>
            <w:tcW w:w="500" w:type="dxa"/>
            <w:vAlign w:val="bottom"/>
            <w:tcBorders>
              <w:bottom w:val="single" w:sz="8" w:color="BFBFBF"/>
            </w:tcBorders>
          </w:tcPr>
          <w:p>
            <w:pPr>
              <w:spacing w:after="0"/>
              <w:rPr>
                <w:sz w:val="19"/>
                <w:szCs w:val="19"/>
                <w:color w:val="auto"/>
              </w:rPr>
            </w:pPr>
          </w:p>
        </w:tc>
        <w:tc>
          <w:tcPr>
            <w:tcW w:w="98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1300" w:type="dxa"/>
            <w:vAlign w:val="bottom"/>
            <w:tcBorders>
              <w:bottom w:val="single" w:sz="8" w:color="BFBFBF"/>
            </w:tcBorders>
          </w:tcPr>
          <w:p>
            <w:pPr>
              <w:spacing w:after="0"/>
              <w:rPr>
                <w:sz w:val="19"/>
                <w:szCs w:val="19"/>
                <w:color w:val="auto"/>
              </w:rPr>
            </w:pPr>
          </w:p>
        </w:tc>
        <w:tc>
          <w:tcPr>
            <w:tcW w:w="10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BFBFBF"/>
            </w:tcBorders>
          </w:tcPr>
          <w:p>
            <w:pPr>
              <w:ind w:left="140"/>
              <w:spacing w:after="0" w:line="223" w:lineRule="exact"/>
              <w:rPr>
                <w:sz w:val="20"/>
                <w:szCs w:val="20"/>
                <w:color w:val="auto"/>
              </w:rPr>
            </w:pPr>
            <w:r>
              <w:rPr>
                <w:rFonts w:ascii="Arial" w:cs="Arial" w:eastAsia="Arial" w:hAnsi="Arial"/>
                <w:sz w:val="18"/>
                <w:szCs w:val="18"/>
                <w:color w:val="auto"/>
              </w:rPr>
              <w:t>Cost of products and services sold</w:t>
            </w:r>
            <w:r>
              <w:rPr>
                <w:rFonts w:ascii="Arial" w:cs="Arial" w:eastAsia="Arial" w:hAnsi="Arial"/>
                <w:sz w:val="23"/>
                <w:szCs w:val="23"/>
                <w:color w:val="auto"/>
                <w:vertAlign w:val="superscript"/>
              </w:rPr>
              <w:t>(1)</w:t>
            </w:r>
          </w:p>
        </w:tc>
        <w:tc>
          <w:tcPr>
            <w:tcW w:w="500" w:type="dxa"/>
            <w:vAlign w:val="bottom"/>
            <w:tcBorders>
              <w:bottom w:val="single" w:sz="8" w:color="BFBFBF"/>
            </w:tcBorders>
          </w:tcPr>
          <w:p>
            <w:pPr>
              <w:spacing w:after="0"/>
              <w:rPr>
                <w:sz w:val="19"/>
                <w:szCs w:val="19"/>
                <w:color w:val="auto"/>
              </w:rPr>
            </w:pPr>
          </w:p>
        </w:tc>
        <w:tc>
          <w:tcPr>
            <w:tcW w:w="980" w:type="dxa"/>
            <w:vAlign w:val="bottom"/>
            <w:tcBorders>
              <w:bottom w:val="single" w:sz="8" w:color="BFBFBF"/>
            </w:tcBorders>
          </w:tcPr>
          <w:p>
            <w:pPr>
              <w:jc w:val="right"/>
              <w:ind w:right="50"/>
              <w:spacing w:after="0"/>
              <w:rPr>
                <w:sz w:val="20"/>
                <w:szCs w:val="20"/>
                <w:color w:val="auto"/>
              </w:rPr>
            </w:pPr>
            <w:r>
              <w:rPr>
                <w:rFonts w:ascii="Arial" w:cs="Arial" w:eastAsia="Arial" w:hAnsi="Arial"/>
                <w:sz w:val="18"/>
                <w:szCs w:val="18"/>
                <w:color w:val="auto"/>
              </w:rPr>
              <w:t>2,758</w:t>
            </w:r>
          </w:p>
        </w:tc>
        <w:tc>
          <w:tcPr>
            <w:tcW w:w="16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jc w:val="right"/>
              <w:ind w:right="17"/>
              <w:spacing w:after="0"/>
              <w:rPr>
                <w:sz w:val="20"/>
                <w:szCs w:val="20"/>
                <w:color w:val="auto"/>
              </w:rPr>
            </w:pPr>
            <w:r>
              <w:rPr>
                <w:rFonts w:ascii="Arial" w:cs="Arial" w:eastAsia="Arial" w:hAnsi="Arial"/>
                <w:sz w:val="18"/>
                <w:szCs w:val="18"/>
                <w:color w:val="auto"/>
              </w:rPr>
              <w:t>2,998</w:t>
            </w:r>
          </w:p>
        </w:tc>
        <w:tc>
          <w:tcPr>
            <w:tcW w:w="200" w:type="dxa"/>
            <w:vAlign w:val="bottom"/>
            <w:tcBorders>
              <w:bottom w:val="single" w:sz="8" w:color="BFBFBF"/>
            </w:tcBorders>
          </w:tcPr>
          <w:p>
            <w:pPr>
              <w:spacing w:after="0"/>
              <w:rPr>
                <w:sz w:val="19"/>
                <w:szCs w:val="19"/>
                <w:color w:val="auto"/>
              </w:rPr>
            </w:pPr>
          </w:p>
        </w:tc>
        <w:tc>
          <w:tcPr>
            <w:tcW w:w="13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2,338</w:t>
            </w:r>
          </w:p>
        </w:tc>
        <w:tc>
          <w:tcPr>
            <w:tcW w:w="10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384348"/>
            </w:tcBorders>
          </w:tcPr>
          <w:p>
            <w:pPr>
              <w:ind w:left="140"/>
              <w:spacing w:after="0" w:line="223"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(2)</w:t>
            </w:r>
          </w:p>
        </w:tc>
        <w:tc>
          <w:tcPr>
            <w:tcW w:w="500" w:type="dxa"/>
            <w:vAlign w:val="bottom"/>
            <w:tcBorders>
              <w:bottom w:val="single" w:sz="8" w:color="384348"/>
            </w:tcBorders>
          </w:tcPr>
          <w:p>
            <w:pPr>
              <w:spacing w:after="0"/>
              <w:rPr>
                <w:sz w:val="19"/>
                <w:szCs w:val="19"/>
                <w:color w:val="auto"/>
              </w:rPr>
            </w:pPr>
          </w:p>
        </w:tc>
        <w:tc>
          <w:tcPr>
            <w:tcW w:w="980" w:type="dxa"/>
            <w:vAlign w:val="bottom"/>
            <w:tcBorders>
              <w:bottom w:val="single" w:sz="8" w:color="384348"/>
            </w:tcBorders>
          </w:tcPr>
          <w:p>
            <w:pPr>
              <w:jc w:val="right"/>
              <w:ind w:right="50"/>
              <w:spacing w:after="0"/>
              <w:rPr>
                <w:sz w:val="20"/>
                <w:szCs w:val="20"/>
                <w:color w:val="auto"/>
              </w:rPr>
            </w:pPr>
            <w:r>
              <w:rPr>
                <w:rFonts w:ascii="Arial" w:cs="Arial" w:eastAsia="Arial" w:hAnsi="Arial"/>
                <w:sz w:val="18"/>
                <w:szCs w:val="18"/>
                <w:color w:val="auto"/>
              </w:rPr>
              <w:t>750</w:t>
            </w:r>
          </w:p>
        </w:tc>
        <w:tc>
          <w:tcPr>
            <w:tcW w:w="160" w:type="dxa"/>
            <w:vAlign w:val="bottom"/>
            <w:tcBorders>
              <w:bottom w:val="single" w:sz="8" w:color="384348"/>
            </w:tcBorders>
          </w:tcPr>
          <w:p>
            <w:pPr>
              <w:spacing w:after="0"/>
              <w:rPr>
                <w:sz w:val="19"/>
                <w:szCs w:val="19"/>
                <w:color w:val="auto"/>
              </w:rPr>
            </w:pPr>
          </w:p>
        </w:tc>
        <w:tc>
          <w:tcPr>
            <w:tcW w:w="1320" w:type="dxa"/>
            <w:vAlign w:val="bottom"/>
            <w:tcBorders>
              <w:bottom w:val="single" w:sz="8" w:color="384348"/>
            </w:tcBorders>
          </w:tcPr>
          <w:p>
            <w:pPr>
              <w:jc w:val="right"/>
              <w:ind w:right="17"/>
              <w:spacing w:after="0"/>
              <w:rPr>
                <w:sz w:val="20"/>
                <w:szCs w:val="20"/>
                <w:color w:val="auto"/>
              </w:rPr>
            </w:pPr>
            <w:r>
              <w:rPr>
                <w:rFonts w:ascii="Arial" w:cs="Arial" w:eastAsia="Arial" w:hAnsi="Arial"/>
                <w:sz w:val="18"/>
                <w:szCs w:val="18"/>
                <w:color w:val="auto"/>
              </w:rPr>
              <w:t>396</w:t>
            </w:r>
          </w:p>
        </w:tc>
        <w:tc>
          <w:tcPr>
            <w:tcW w:w="200" w:type="dxa"/>
            <w:vAlign w:val="bottom"/>
            <w:tcBorders>
              <w:bottom w:val="single" w:sz="8" w:color="384348"/>
            </w:tcBorders>
          </w:tcPr>
          <w:p>
            <w:pPr>
              <w:spacing w:after="0"/>
              <w:rPr>
                <w:sz w:val="19"/>
                <w:szCs w:val="19"/>
                <w:color w:val="auto"/>
              </w:rPr>
            </w:pPr>
          </w:p>
        </w:tc>
        <w:tc>
          <w:tcPr>
            <w:tcW w:w="13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329</w:t>
            </w:r>
          </w:p>
        </w:tc>
        <w:tc>
          <w:tcPr>
            <w:tcW w:w="10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spacing w:after="0"/>
              <w:rPr>
                <w:sz w:val="19"/>
                <w:szCs w:val="19"/>
                <w:color w:val="auto"/>
              </w:rPr>
            </w:pPr>
          </w:p>
        </w:tc>
        <w:tc>
          <w:tcPr>
            <w:tcW w:w="38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Total segment profit</w:t>
            </w:r>
          </w:p>
        </w:tc>
        <w:tc>
          <w:tcPr>
            <w:tcW w:w="5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384348"/>
            </w:tcBorders>
          </w:tcPr>
          <w:p>
            <w:pPr>
              <w:jc w:val="right"/>
              <w:ind w:right="50"/>
              <w:spacing w:after="0"/>
              <w:rPr>
                <w:sz w:val="20"/>
                <w:szCs w:val="20"/>
                <w:color w:val="auto"/>
              </w:rPr>
            </w:pPr>
            <w:r>
              <w:rPr>
                <w:rFonts w:ascii="Arial" w:cs="Arial" w:eastAsia="Arial" w:hAnsi="Arial"/>
                <w:sz w:val="18"/>
                <w:szCs w:val="18"/>
                <w:b w:val="1"/>
                <w:bCs w:val="1"/>
                <w:color w:val="auto"/>
              </w:rPr>
              <w:t>1,395</w:t>
            </w:r>
          </w:p>
        </w:tc>
        <w:tc>
          <w:tcPr>
            <w:tcW w:w="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384348"/>
            </w:tcBorders>
          </w:tcPr>
          <w:p>
            <w:pPr>
              <w:jc w:val="right"/>
              <w:ind w:right="17"/>
              <w:spacing w:after="0"/>
              <w:rPr>
                <w:sz w:val="20"/>
                <w:szCs w:val="20"/>
                <w:color w:val="auto"/>
              </w:rPr>
            </w:pPr>
            <w:r>
              <w:rPr>
                <w:rFonts w:ascii="Arial" w:cs="Arial" w:eastAsia="Arial" w:hAnsi="Arial"/>
                <w:sz w:val="18"/>
                <w:szCs w:val="18"/>
                <w:b w:val="1"/>
                <w:bCs w:val="1"/>
                <w:color w:val="auto"/>
              </w:rPr>
              <w:t>748</w:t>
            </w: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1,184</w:t>
            </w:r>
          </w:p>
        </w:tc>
        <w:tc>
          <w:tcPr>
            <w:tcW w:w="1080" w:type="dxa"/>
            <w:vAlign w:val="bottom"/>
            <w:tcBorders>
              <w:bottom w:val="single" w:sz="8" w:color="384348"/>
            </w:tcBorders>
          </w:tcPr>
          <w:p>
            <w:pPr>
              <w:jc w:val="right"/>
              <w:ind w:right="799"/>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(70)</w:t>
            </w:r>
          </w:p>
        </w:tc>
        <w:tc>
          <w:tcPr>
            <w:tcW w:w="380" w:type="dxa"/>
            <w:vAlign w:val="bottom"/>
            <w:tcBorders>
              <w:bottom w:val="single" w:sz="8" w:color="384348"/>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3,257</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BFBFBF"/>
            </w:tcBorders>
          </w:tcPr>
          <w:p>
            <w:pPr>
              <w:spacing w:after="0"/>
              <w:rPr>
                <w:sz w:val="12"/>
                <w:szCs w:val="12"/>
                <w:color w:val="auto"/>
              </w:rPr>
            </w:pPr>
          </w:p>
        </w:tc>
        <w:tc>
          <w:tcPr>
            <w:tcW w:w="500" w:type="dxa"/>
            <w:vAlign w:val="bottom"/>
            <w:tcBorders>
              <w:bottom w:val="single" w:sz="8" w:color="BFBFBF"/>
            </w:tcBorders>
          </w:tcPr>
          <w:p>
            <w:pPr>
              <w:spacing w:after="0"/>
              <w:rPr>
                <w:sz w:val="12"/>
                <w:szCs w:val="12"/>
                <w:color w:val="auto"/>
              </w:rPr>
            </w:pPr>
          </w:p>
        </w:tc>
        <w:tc>
          <w:tcPr>
            <w:tcW w:w="980" w:type="dxa"/>
            <w:vAlign w:val="bottom"/>
            <w:tcBorders>
              <w:bottom w:val="single" w:sz="8" w:color="BFBFBF"/>
            </w:tcBorders>
          </w:tcPr>
          <w:p>
            <w:pPr>
              <w:spacing w:after="0"/>
              <w:rPr>
                <w:sz w:val="12"/>
                <w:szCs w:val="12"/>
                <w:color w:val="auto"/>
              </w:rPr>
            </w:pPr>
          </w:p>
        </w:tc>
        <w:tc>
          <w:tcPr>
            <w:tcW w:w="160" w:type="dxa"/>
            <w:vAlign w:val="bottom"/>
            <w:tcBorders>
              <w:bottom w:val="single" w:sz="8" w:color="BFBFBF"/>
            </w:tcBorders>
          </w:tcPr>
          <w:p>
            <w:pPr>
              <w:spacing w:after="0"/>
              <w:rPr>
                <w:sz w:val="12"/>
                <w:szCs w:val="12"/>
                <w:color w:val="auto"/>
              </w:rPr>
            </w:pPr>
          </w:p>
        </w:tc>
        <w:tc>
          <w:tcPr>
            <w:tcW w:w="1320" w:type="dxa"/>
            <w:vAlign w:val="bottom"/>
            <w:tcBorders>
              <w:bottom w:val="single" w:sz="8" w:color="BFBFBF"/>
            </w:tcBorders>
          </w:tcPr>
          <w:p>
            <w:pPr>
              <w:spacing w:after="0"/>
              <w:rPr>
                <w:sz w:val="12"/>
                <w:szCs w:val="12"/>
                <w:color w:val="auto"/>
              </w:rPr>
            </w:pPr>
          </w:p>
        </w:tc>
        <w:tc>
          <w:tcPr>
            <w:tcW w:w="200" w:type="dxa"/>
            <w:vAlign w:val="bottom"/>
            <w:tcBorders>
              <w:bottom w:val="single" w:sz="8" w:color="BFBFBF"/>
            </w:tcBorders>
          </w:tcPr>
          <w:p>
            <w:pPr>
              <w:spacing w:after="0"/>
              <w:rPr>
                <w:sz w:val="12"/>
                <w:szCs w:val="12"/>
                <w:color w:val="auto"/>
              </w:rPr>
            </w:pPr>
          </w:p>
        </w:tc>
        <w:tc>
          <w:tcPr>
            <w:tcW w:w="1300" w:type="dxa"/>
            <w:vAlign w:val="bottom"/>
            <w:tcBorders>
              <w:bottom w:val="single" w:sz="8" w:color="BFBFBF"/>
            </w:tcBorders>
          </w:tcPr>
          <w:p>
            <w:pPr>
              <w:spacing w:after="0"/>
              <w:rPr>
                <w:sz w:val="12"/>
                <w:szCs w:val="12"/>
                <w:color w:val="auto"/>
              </w:rPr>
            </w:pPr>
          </w:p>
        </w:tc>
        <w:tc>
          <w:tcPr>
            <w:tcW w:w="1080" w:type="dxa"/>
            <w:vAlign w:val="bottom"/>
            <w:tcBorders>
              <w:bottom w:val="single" w:sz="8" w:color="BFBFBF"/>
            </w:tcBorders>
          </w:tcPr>
          <w:p>
            <w:pPr>
              <w:spacing w:after="0"/>
              <w:rPr>
                <w:sz w:val="12"/>
                <w:szCs w:val="12"/>
                <w:color w:val="auto"/>
              </w:rPr>
            </w:pPr>
          </w:p>
        </w:tc>
        <w:tc>
          <w:tcPr>
            <w:tcW w:w="480" w:type="dxa"/>
            <w:vAlign w:val="bottom"/>
            <w:tcBorders>
              <w:bottom w:val="single" w:sz="8" w:color="BFBFBF"/>
            </w:tcBorders>
          </w:tcPr>
          <w:p>
            <w:pPr>
              <w:spacing w:after="0"/>
              <w:rPr>
                <w:sz w:val="12"/>
                <w:szCs w:val="12"/>
                <w:color w:val="auto"/>
              </w:rPr>
            </w:pPr>
          </w:p>
        </w:tc>
        <w:tc>
          <w:tcPr>
            <w:tcW w:w="380" w:type="dxa"/>
            <w:vAlign w:val="bottom"/>
            <w:tcBorders>
              <w:bottom w:val="single" w:sz="8" w:color="BFBFBF"/>
            </w:tcBorders>
          </w:tcPr>
          <w:p>
            <w:pPr>
              <w:spacing w:after="0"/>
              <w:rPr>
                <w:sz w:val="12"/>
                <w:szCs w:val="12"/>
                <w:color w:val="auto"/>
              </w:rPr>
            </w:pPr>
          </w:p>
        </w:tc>
        <w:tc>
          <w:tcPr>
            <w:tcW w:w="1100" w:type="dxa"/>
            <w:vAlign w:val="bottom"/>
            <w:tcBorders>
              <w:bottom w:val="single" w:sz="8" w:color="BFBFBF"/>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BFBFBF"/>
            </w:tcBorders>
          </w:tcPr>
          <w:p>
            <w:pPr>
              <w:jc w:val="right"/>
              <w:ind w:right="50"/>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FBFBF"/>
            </w:tcBorders>
          </w:tcPr>
          <w:p>
            <w:pPr>
              <w:jc w:val="right"/>
              <w:ind w:right="17"/>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72</w:t>
            </w:r>
          </w:p>
        </w:tc>
        <w:tc>
          <w:tcPr>
            <w:tcW w:w="1080" w:type="dxa"/>
            <w:vAlign w:val="bottom"/>
            <w:tcBorders>
              <w:bottom w:val="single" w:sz="8" w:color="BFBFBF"/>
            </w:tcBorders>
          </w:tcPr>
          <w:p>
            <w:pPr>
              <w:jc w:val="right"/>
              <w:ind w:right="79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BFBFBF"/>
            </w:tcBorders>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BFBFBF"/>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55"/>
        </w:trPr>
        <w:tc>
          <w:tcPr>
            <w:tcW w:w="3740" w:type="dxa"/>
            <w:vAlign w:val="bottom"/>
          </w:tcPr>
          <w:p>
            <w:pPr>
              <w:spacing w:after="0"/>
              <w:rPr>
                <w:sz w:val="20"/>
                <w:szCs w:val="20"/>
                <w:color w:val="auto"/>
              </w:rPr>
            </w:pPr>
            <w:r>
              <w:rPr>
                <w:rFonts w:ascii="Arial" w:cs="Arial" w:eastAsia="Arial" w:hAnsi="Arial"/>
                <w:sz w:val="14"/>
                <w:szCs w:val="14"/>
                <w:color w:val="auto"/>
              </w:rPr>
              <w:t>__________________</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exclude acquisition-related intangibles amortization, repositioning charges, and environmental expenses.</w:t>
      </w:r>
    </w:p>
    <w:p>
      <w:pPr>
        <w:spacing w:after="0" w:line="14" w:lineRule="exact"/>
        <w:rPr>
          <w:rFonts w:ascii="Arial" w:cs="Arial" w:eastAsia="Arial" w:hAnsi="Arial"/>
          <w:sz w:val="14"/>
          <w:szCs w:val="14"/>
          <w:color w:val="auto"/>
        </w:rPr>
      </w:pPr>
    </w:p>
    <w:p>
      <w:pPr>
        <w:ind w:left="340" w:hanging="332"/>
        <w:spacing w:after="0" w:line="284" w:lineRule="auto"/>
        <w:tabs>
          <w:tab w:leader="none" w:pos="338"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each reportable segment, the other segment items category includes corporate allocations, equity income of affiliated companies, Selling, general and administrative, and Research and development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profit to Income before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20" w:type="dxa"/>
            <w:vAlign w:val="bottom"/>
          </w:tcPr>
          <w:p>
            <w:pPr>
              <w:spacing w:after="0"/>
              <w:rPr>
                <w:sz w:val="17"/>
                <w:szCs w:val="17"/>
                <w:color w:val="auto"/>
              </w:rPr>
            </w:pPr>
          </w:p>
        </w:tc>
        <w:tc>
          <w:tcPr>
            <w:tcW w:w="120" w:type="dxa"/>
            <w:vAlign w:val="bottom"/>
            <w:tcBorders>
              <w:bottom w:val="single" w:sz="8" w:color="FF4400"/>
            </w:tcBorders>
          </w:tcPr>
          <w:p>
            <w:pPr>
              <w:spacing w:after="0"/>
              <w:rPr>
                <w:sz w:val="17"/>
                <w:szCs w:val="17"/>
                <w:color w:val="auto"/>
              </w:rPr>
            </w:pPr>
          </w:p>
        </w:tc>
        <w:tc>
          <w:tcPr>
            <w:tcW w:w="2420" w:type="dxa"/>
            <w:vAlign w:val="bottom"/>
            <w:tcBorders>
              <w:bottom w:val="single" w:sz="8" w:color="FF4400"/>
            </w:tcBorders>
            <w:gridSpan w:val="3"/>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20" w:type="dxa"/>
            <w:vAlign w:val="bottom"/>
            <w:tcBorders>
              <w:bottom w:val="single" w:sz="8" w:color="FF4400"/>
            </w:tcBorders>
          </w:tcPr>
          <w:p>
            <w:pPr>
              <w:spacing w:after="0"/>
              <w:rPr>
                <w:sz w:val="17"/>
                <w:szCs w:val="17"/>
                <w:color w:val="auto"/>
              </w:rPr>
            </w:pPr>
          </w:p>
        </w:tc>
        <w:tc>
          <w:tcPr>
            <w:tcW w:w="2440" w:type="dxa"/>
            <w:vAlign w:val="bottom"/>
            <w:tcBorders>
              <w:bottom w:val="single" w:sz="8" w:color="FF4400"/>
            </w:tcBorders>
            <w:gridSpan w:val="3"/>
          </w:tcPr>
          <w:p>
            <w:pPr>
              <w:jc w:val="right"/>
              <w:ind w:right="512"/>
              <w:spacing w:after="0"/>
              <w:rPr>
                <w:sz w:val="20"/>
                <w:szCs w:val="20"/>
                <w:color w:val="auto"/>
              </w:rPr>
            </w:pPr>
            <w:r>
              <w:rPr>
                <w:rFonts w:ascii="Arial" w:cs="Arial" w:eastAsia="Arial" w:hAnsi="Arial"/>
                <w:sz w:val="14"/>
                <w:szCs w:val="14"/>
                <w:b w:val="1"/>
                <w:bCs w:val="1"/>
                <w:color w:val="auto"/>
              </w:rPr>
              <w:t>Nine Months Ended</w:t>
            </w:r>
          </w:p>
        </w:tc>
      </w:tr>
      <w:tr>
        <w:trPr>
          <w:trHeight w:val="147"/>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73"/>
              <w:spacing w:after="0" w:line="147"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2"/>
                <w:szCs w:val="12"/>
                <w:color w:val="auto"/>
              </w:rPr>
            </w:pPr>
          </w:p>
        </w:tc>
        <w:tc>
          <w:tcPr>
            <w:tcW w:w="12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September 27,</w:t>
            </w:r>
          </w:p>
        </w:tc>
        <w:tc>
          <w:tcPr>
            <w:tcW w:w="120" w:type="dxa"/>
            <w:vAlign w:val="bottom"/>
          </w:tcPr>
          <w:p>
            <w:pPr>
              <w:spacing w:after="0"/>
              <w:rPr>
                <w:sz w:val="12"/>
                <w:szCs w:val="12"/>
                <w:color w:val="auto"/>
              </w:rPr>
            </w:pPr>
          </w:p>
        </w:tc>
        <w:tc>
          <w:tcPr>
            <w:tcW w:w="1160" w:type="dxa"/>
            <w:vAlign w:val="bottom"/>
          </w:tcPr>
          <w:p>
            <w:pPr>
              <w:jc w:val="right"/>
              <w:ind w:right="73"/>
              <w:spacing w:after="0" w:line="147"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2"/>
                <w:szCs w:val="12"/>
                <w:color w:val="auto"/>
              </w:rPr>
            </w:pPr>
          </w:p>
        </w:tc>
        <w:tc>
          <w:tcPr>
            <w:tcW w:w="1120" w:type="dxa"/>
            <w:vAlign w:val="bottom"/>
          </w:tcPr>
          <w:p>
            <w:pPr>
              <w:jc w:val="right"/>
              <w:ind w:right="32"/>
              <w:spacing w:after="0" w:line="147" w:lineRule="exact"/>
              <w:rPr>
                <w:sz w:val="20"/>
                <w:szCs w:val="20"/>
                <w:color w:val="auto"/>
              </w:rPr>
            </w:pPr>
            <w:r>
              <w:rPr>
                <w:rFonts w:ascii="Arial" w:cs="Arial" w:eastAsia="Arial" w:hAnsi="Arial"/>
                <w:sz w:val="14"/>
                <w:szCs w:val="14"/>
                <w:b w:val="1"/>
                <w:bCs w:val="1"/>
                <w:color w:val="auto"/>
              </w:rPr>
              <w:t>September 27,</w:t>
            </w:r>
          </w:p>
        </w:tc>
      </w:tr>
      <w:tr>
        <w:trPr>
          <w:trHeight w:val="185"/>
        </w:trPr>
        <w:tc>
          <w:tcPr>
            <w:tcW w:w="5720" w:type="dxa"/>
            <w:vAlign w:val="bottom"/>
            <w:tcBorders>
              <w:bottom w:val="single" w:sz="8" w:color="FF4400"/>
            </w:tcBorders>
          </w:tcPr>
          <w:p>
            <w:pPr>
              <w:spacing w:after="0"/>
              <w:rPr>
                <w:sz w:val="16"/>
                <w:szCs w:val="16"/>
                <w:color w:val="auto"/>
              </w:rPr>
            </w:pPr>
          </w:p>
        </w:tc>
        <w:tc>
          <w:tcPr>
            <w:tcW w:w="120" w:type="dxa"/>
            <w:vAlign w:val="bottom"/>
            <w:tcBorders>
              <w:bottom w:val="single" w:sz="8" w:color="FF4400"/>
            </w:tcBorders>
          </w:tcPr>
          <w:p>
            <w:pPr>
              <w:spacing w:after="0"/>
              <w:rPr>
                <w:sz w:val="16"/>
                <w:szCs w:val="16"/>
                <w:color w:val="auto"/>
              </w:rPr>
            </w:pPr>
          </w:p>
        </w:tc>
        <w:tc>
          <w:tcPr>
            <w:tcW w:w="1140" w:type="dxa"/>
            <w:vAlign w:val="bottom"/>
            <w:tcBorders>
              <w:bottom w:val="single" w:sz="8" w:color="FF4400"/>
            </w:tcBorders>
          </w:tcPr>
          <w:p>
            <w:pPr>
              <w:jc w:val="right"/>
              <w:ind w:right="393"/>
              <w:spacing w:after="0"/>
              <w:rPr>
                <w:sz w:val="20"/>
                <w:szCs w:val="20"/>
                <w:color w:val="auto"/>
              </w:rPr>
            </w:pPr>
            <w:r>
              <w:rPr>
                <w:rFonts w:ascii="Arial" w:cs="Arial" w:eastAsia="Arial" w:hAnsi="Arial"/>
                <w:sz w:val="14"/>
                <w:szCs w:val="14"/>
                <w:b w:val="1"/>
                <w:bCs w:val="1"/>
                <w:color w:val="auto"/>
              </w:rPr>
              <w:t>2026</w:t>
            </w:r>
          </w:p>
        </w:tc>
        <w:tc>
          <w:tcPr>
            <w:tcW w:w="180" w:type="dxa"/>
            <w:vAlign w:val="bottom"/>
            <w:tcBorders>
              <w:bottom w:val="single" w:sz="8" w:color="FF4400"/>
            </w:tcBorders>
          </w:tcPr>
          <w:p>
            <w:pPr>
              <w:spacing w:after="0"/>
              <w:rPr>
                <w:sz w:val="16"/>
                <w:szCs w:val="16"/>
                <w:color w:val="auto"/>
              </w:rPr>
            </w:pPr>
          </w:p>
        </w:tc>
        <w:tc>
          <w:tcPr>
            <w:tcW w:w="1100" w:type="dxa"/>
            <w:vAlign w:val="bottom"/>
            <w:tcBorders>
              <w:bottom w:val="single" w:sz="8" w:color="FF4400"/>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FF4400"/>
            </w:tcBorders>
          </w:tcPr>
          <w:p>
            <w:pPr>
              <w:spacing w:after="0"/>
              <w:rPr>
                <w:sz w:val="16"/>
                <w:szCs w:val="16"/>
                <w:color w:val="auto"/>
              </w:rPr>
            </w:pPr>
          </w:p>
        </w:tc>
        <w:tc>
          <w:tcPr>
            <w:tcW w:w="120" w:type="dxa"/>
            <w:vAlign w:val="bottom"/>
            <w:tcBorders>
              <w:bottom w:val="single" w:sz="8" w:color="FF4400"/>
            </w:tcBorders>
          </w:tcPr>
          <w:p>
            <w:pPr>
              <w:spacing w:after="0"/>
              <w:rPr>
                <w:sz w:val="16"/>
                <w:szCs w:val="16"/>
                <w:color w:val="auto"/>
              </w:rPr>
            </w:pPr>
          </w:p>
        </w:tc>
        <w:tc>
          <w:tcPr>
            <w:tcW w:w="1160" w:type="dxa"/>
            <w:vAlign w:val="bottom"/>
            <w:tcBorders>
              <w:bottom w:val="single" w:sz="8" w:color="FF4400"/>
            </w:tcBorders>
          </w:tcPr>
          <w:p>
            <w:pPr>
              <w:jc w:val="right"/>
              <w:ind w:right="413"/>
              <w:spacing w:after="0"/>
              <w:rPr>
                <w:sz w:val="20"/>
                <w:szCs w:val="20"/>
                <w:color w:val="auto"/>
              </w:rPr>
            </w:pPr>
            <w:r>
              <w:rPr>
                <w:rFonts w:ascii="Arial" w:cs="Arial" w:eastAsia="Arial" w:hAnsi="Arial"/>
                <w:sz w:val="14"/>
                <w:szCs w:val="14"/>
                <w:b w:val="1"/>
                <w:bCs w:val="1"/>
                <w:color w:val="auto"/>
              </w:rPr>
              <w:t>2026</w:t>
            </w:r>
          </w:p>
        </w:tc>
        <w:tc>
          <w:tcPr>
            <w:tcW w:w="160" w:type="dxa"/>
            <w:vAlign w:val="bottom"/>
            <w:tcBorders>
              <w:bottom w:val="single" w:sz="8" w:color="FF4400"/>
            </w:tcBorders>
          </w:tcPr>
          <w:p>
            <w:pPr>
              <w:spacing w:after="0"/>
              <w:rPr>
                <w:sz w:val="16"/>
                <w:szCs w:val="16"/>
                <w:color w:val="auto"/>
              </w:rPr>
            </w:pPr>
          </w:p>
        </w:tc>
        <w:tc>
          <w:tcPr>
            <w:tcW w:w="1120" w:type="dxa"/>
            <w:vAlign w:val="bottom"/>
            <w:tcBorders>
              <w:bottom w:val="single" w:sz="8" w:color="FF4400"/>
            </w:tcBorders>
          </w:tcPr>
          <w:p>
            <w:pPr>
              <w:jc w:val="right"/>
              <w:ind w:right="372"/>
              <w:spacing w:after="0"/>
              <w:rPr>
                <w:sz w:val="20"/>
                <w:szCs w:val="20"/>
                <w:color w:val="auto"/>
              </w:rPr>
            </w:pPr>
            <w:r>
              <w:rPr>
                <w:rFonts w:ascii="Arial" w:cs="Arial" w:eastAsia="Arial" w:hAnsi="Arial"/>
                <w:sz w:val="14"/>
                <w:szCs w:val="14"/>
                <w:b w:val="1"/>
                <w:bCs w:val="1"/>
                <w:color w:val="auto"/>
              </w:rPr>
              <w:t>2025</w:t>
            </w:r>
          </w:p>
        </w:tc>
      </w:tr>
      <w:tr>
        <w:trPr>
          <w:trHeight w:val="223"/>
        </w:trPr>
        <w:tc>
          <w:tcPr>
            <w:tcW w:w="57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Electronic Solutions</w:t>
            </w:r>
          </w:p>
        </w:tc>
        <w:tc>
          <w:tcPr>
            <w:tcW w:w="1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BFBFBF"/>
            </w:tcBorders>
          </w:tcPr>
          <w:p>
            <w:pPr>
              <w:jc w:val="right"/>
              <w:ind w:right="13"/>
              <w:spacing w:after="0"/>
              <w:rPr>
                <w:sz w:val="20"/>
                <w:szCs w:val="20"/>
                <w:color w:val="auto"/>
              </w:rPr>
            </w:pPr>
            <w:r>
              <w:rPr>
                <w:rFonts w:ascii="Arial" w:cs="Arial" w:eastAsia="Arial" w:hAnsi="Arial"/>
                <w:sz w:val="18"/>
                <w:szCs w:val="18"/>
                <w:color w:val="auto"/>
              </w:rPr>
              <w:t>564</w:t>
            </w:r>
          </w:p>
        </w:tc>
        <w:tc>
          <w:tcPr>
            <w:tcW w:w="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BFBFBF"/>
            </w:tcBorders>
          </w:tcPr>
          <w:p>
            <w:pPr>
              <w:jc w:val="right"/>
              <w:ind w:right="33"/>
              <w:spacing w:after="0"/>
              <w:rPr>
                <w:sz w:val="20"/>
                <w:szCs w:val="20"/>
                <w:color w:val="auto"/>
              </w:rPr>
            </w:pPr>
            <w:r>
              <w:rPr>
                <w:rFonts w:ascii="Arial" w:cs="Arial" w:eastAsia="Arial" w:hAnsi="Arial"/>
                <w:sz w:val="18"/>
                <w:szCs w:val="18"/>
                <w:color w:val="auto"/>
              </w:rPr>
              <w:t>1,533</w:t>
            </w:r>
          </w:p>
        </w:tc>
        <w:tc>
          <w:tcPr>
            <w:tcW w:w="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1,395</w:t>
            </w:r>
          </w:p>
        </w:tc>
      </w:tr>
      <w:tr>
        <w:trPr>
          <w:trHeight w:val="223"/>
        </w:trPr>
        <w:tc>
          <w:tcPr>
            <w:tcW w:w="57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Engines &amp; Power Systems</w:t>
            </w:r>
          </w:p>
        </w:tc>
        <w:tc>
          <w:tcPr>
            <w:tcW w:w="120" w:type="dxa"/>
            <w:vAlign w:val="bottom"/>
            <w:tcBorders>
              <w:bottom w:val="single" w:sz="8" w:color="BFBFBF"/>
            </w:tcBorders>
          </w:tcPr>
          <w:p>
            <w:pPr>
              <w:spacing w:after="0"/>
              <w:rPr>
                <w:sz w:val="19"/>
                <w:szCs w:val="19"/>
                <w:color w:val="auto"/>
              </w:rPr>
            </w:pPr>
          </w:p>
        </w:tc>
        <w:tc>
          <w:tcPr>
            <w:tcW w:w="1140" w:type="dxa"/>
            <w:vAlign w:val="bottom"/>
            <w:tcBorders>
              <w:bottom w:val="single" w:sz="8" w:color="BFBFBF"/>
            </w:tcBorders>
          </w:tcPr>
          <w:p>
            <w:pPr>
              <w:jc w:val="right"/>
              <w:ind w:right="13"/>
              <w:spacing w:after="0"/>
              <w:rPr>
                <w:sz w:val="20"/>
                <w:szCs w:val="20"/>
                <w:color w:val="auto"/>
              </w:rPr>
            </w:pPr>
            <w:r>
              <w:rPr>
                <w:rFonts w:ascii="Arial" w:cs="Arial" w:eastAsia="Arial" w:hAnsi="Arial"/>
                <w:sz w:val="18"/>
                <w:szCs w:val="18"/>
                <w:color w:val="auto"/>
              </w:rPr>
              <w:t>250</w:t>
            </w:r>
          </w:p>
        </w:tc>
        <w:tc>
          <w:tcPr>
            <w:tcW w:w="18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ind w:right="33"/>
              <w:spacing w:after="0"/>
              <w:rPr>
                <w:sz w:val="20"/>
                <w:szCs w:val="20"/>
                <w:color w:val="auto"/>
              </w:rPr>
            </w:pPr>
            <w:r>
              <w:rPr>
                <w:rFonts w:ascii="Arial" w:cs="Arial" w:eastAsia="Arial" w:hAnsi="Arial"/>
                <w:sz w:val="18"/>
                <w:szCs w:val="18"/>
                <w:color w:val="auto"/>
              </w:rPr>
              <w:t>705</w:t>
            </w:r>
          </w:p>
        </w:tc>
        <w:tc>
          <w:tcPr>
            <w:tcW w:w="160" w:type="dxa"/>
            <w:vAlign w:val="bottom"/>
            <w:tcBorders>
              <w:bottom w:val="single" w:sz="8" w:color="BFBFBF"/>
            </w:tcBorders>
          </w:tcPr>
          <w:p>
            <w:pPr>
              <w:spacing w:after="0"/>
              <w:rPr>
                <w:sz w:val="19"/>
                <w:szCs w:val="19"/>
                <w:color w:val="auto"/>
              </w:rPr>
            </w:pPr>
          </w:p>
        </w:tc>
        <w:tc>
          <w:tcPr>
            <w:tcW w:w="11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748</w:t>
            </w:r>
          </w:p>
        </w:tc>
      </w:tr>
      <w:tr>
        <w:trPr>
          <w:trHeight w:val="223"/>
        </w:trPr>
        <w:tc>
          <w:tcPr>
            <w:tcW w:w="57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Control Systems</w:t>
            </w:r>
          </w:p>
        </w:tc>
        <w:tc>
          <w:tcPr>
            <w:tcW w:w="120" w:type="dxa"/>
            <w:vAlign w:val="bottom"/>
            <w:tcBorders>
              <w:bottom w:val="single" w:sz="8" w:color="BFBFBF"/>
            </w:tcBorders>
          </w:tcPr>
          <w:p>
            <w:pPr>
              <w:spacing w:after="0"/>
              <w:rPr>
                <w:sz w:val="19"/>
                <w:szCs w:val="19"/>
                <w:color w:val="auto"/>
              </w:rPr>
            </w:pPr>
          </w:p>
        </w:tc>
        <w:tc>
          <w:tcPr>
            <w:tcW w:w="1140" w:type="dxa"/>
            <w:vAlign w:val="bottom"/>
            <w:tcBorders>
              <w:bottom w:val="single" w:sz="8" w:color="BFBFBF"/>
            </w:tcBorders>
          </w:tcPr>
          <w:p>
            <w:pPr>
              <w:jc w:val="right"/>
              <w:ind w:right="13"/>
              <w:spacing w:after="0"/>
              <w:rPr>
                <w:sz w:val="20"/>
                <w:szCs w:val="20"/>
                <w:color w:val="auto"/>
              </w:rPr>
            </w:pPr>
            <w:r>
              <w:rPr>
                <w:rFonts w:ascii="Arial" w:cs="Arial" w:eastAsia="Arial" w:hAnsi="Arial"/>
                <w:sz w:val="18"/>
                <w:szCs w:val="18"/>
                <w:color w:val="auto"/>
              </w:rPr>
              <w:t>382</w:t>
            </w:r>
          </w:p>
        </w:tc>
        <w:tc>
          <w:tcPr>
            <w:tcW w:w="18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ind w:right="33"/>
              <w:spacing w:after="0"/>
              <w:rPr>
                <w:sz w:val="20"/>
                <w:szCs w:val="20"/>
                <w:color w:val="auto"/>
              </w:rPr>
            </w:pPr>
            <w:r>
              <w:rPr>
                <w:rFonts w:ascii="Arial" w:cs="Arial" w:eastAsia="Arial" w:hAnsi="Arial"/>
                <w:sz w:val="18"/>
                <w:szCs w:val="18"/>
                <w:color w:val="auto"/>
              </w:rPr>
              <w:t>1,098</w:t>
            </w:r>
          </w:p>
        </w:tc>
        <w:tc>
          <w:tcPr>
            <w:tcW w:w="160" w:type="dxa"/>
            <w:vAlign w:val="bottom"/>
            <w:tcBorders>
              <w:bottom w:val="single" w:sz="8" w:color="BFBFBF"/>
            </w:tcBorders>
          </w:tcPr>
          <w:p>
            <w:pPr>
              <w:spacing w:after="0"/>
              <w:rPr>
                <w:sz w:val="19"/>
                <w:szCs w:val="19"/>
                <w:color w:val="auto"/>
              </w:rPr>
            </w:pPr>
          </w:p>
        </w:tc>
        <w:tc>
          <w:tcPr>
            <w:tcW w:w="11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1,184</w:t>
            </w:r>
          </w:p>
        </w:tc>
      </w:tr>
      <w:tr>
        <w:trPr>
          <w:trHeight w:val="223"/>
        </w:trPr>
        <w:tc>
          <w:tcPr>
            <w:tcW w:w="572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Corporate and All Other</w:t>
            </w:r>
          </w:p>
        </w:tc>
        <w:tc>
          <w:tcPr>
            <w:tcW w:w="120" w:type="dxa"/>
            <w:vAlign w:val="bottom"/>
            <w:tcBorders>
              <w:bottom w:val="single" w:sz="8" w:color="384348"/>
            </w:tcBorders>
          </w:tcPr>
          <w:p>
            <w:pPr>
              <w:spacing w:after="0"/>
              <w:rPr>
                <w:sz w:val="19"/>
                <w:szCs w:val="19"/>
                <w:color w:val="auto"/>
              </w:rPr>
            </w:pPr>
          </w:p>
        </w:tc>
        <w:tc>
          <w:tcPr>
            <w:tcW w:w="11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spacing w:after="0"/>
              <w:rPr>
                <w:sz w:val="19"/>
                <w:szCs w:val="19"/>
                <w:color w:val="auto"/>
              </w:rPr>
            </w:pPr>
          </w:p>
        </w:tc>
        <w:tc>
          <w:tcPr>
            <w:tcW w:w="1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384348"/>
            </w:tcBorders>
          </w:tcPr>
          <w:p>
            <w:pPr>
              <w:spacing w:after="0"/>
              <w:rPr>
                <w:sz w:val="19"/>
                <w:szCs w:val="19"/>
                <w:color w:val="auto"/>
              </w:rPr>
            </w:pPr>
          </w:p>
        </w:tc>
        <w:tc>
          <w:tcPr>
            <w:tcW w:w="11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572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Total segment profit</w:t>
            </w:r>
          </w:p>
        </w:tc>
        <w:tc>
          <w:tcPr>
            <w:tcW w:w="120" w:type="dxa"/>
            <w:vAlign w:val="bottom"/>
            <w:tcBorders>
              <w:bottom w:val="single" w:sz="8" w:color="384348"/>
            </w:tcBorders>
          </w:tcPr>
          <w:p>
            <w:pPr>
              <w:spacing w:after="0"/>
              <w:rPr>
                <w:sz w:val="19"/>
                <w:szCs w:val="19"/>
                <w:color w:val="auto"/>
              </w:rPr>
            </w:pPr>
          </w:p>
        </w:tc>
        <w:tc>
          <w:tcPr>
            <w:tcW w:w="1140" w:type="dxa"/>
            <w:vAlign w:val="bottom"/>
            <w:tcBorders>
              <w:bottom w:val="single" w:sz="8" w:color="384348"/>
            </w:tcBorders>
          </w:tcPr>
          <w:p>
            <w:pPr>
              <w:jc w:val="right"/>
              <w:ind w:right="13"/>
              <w:spacing w:after="0"/>
              <w:rPr>
                <w:sz w:val="20"/>
                <w:szCs w:val="20"/>
                <w:color w:val="auto"/>
              </w:rPr>
            </w:pPr>
            <w:r>
              <w:rPr>
                <w:rFonts w:ascii="Arial" w:cs="Arial" w:eastAsia="Arial" w:hAnsi="Arial"/>
                <w:sz w:val="18"/>
                <w:szCs w:val="18"/>
                <w:b w:val="1"/>
                <w:bCs w:val="1"/>
                <w:color w:val="auto"/>
              </w:rPr>
              <w:t>1,161</w:t>
            </w:r>
          </w:p>
        </w:tc>
        <w:tc>
          <w:tcPr>
            <w:tcW w:w="18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1,151</w:t>
            </w:r>
          </w:p>
        </w:tc>
        <w:tc>
          <w:tcPr>
            <w:tcW w:w="10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spacing w:after="0"/>
              <w:rPr>
                <w:sz w:val="19"/>
                <w:szCs w:val="19"/>
                <w:color w:val="auto"/>
              </w:rPr>
            </w:pPr>
          </w:p>
        </w:tc>
        <w:tc>
          <w:tcPr>
            <w:tcW w:w="1160" w:type="dxa"/>
            <w:vAlign w:val="bottom"/>
            <w:tcBorders>
              <w:bottom w:val="single" w:sz="8" w:color="384348"/>
            </w:tcBorders>
          </w:tcPr>
          <w:p>
            <w:pPr>
              <w:jc w:val="right"/>
              <w:ind w:right="33"/>
              <w:spacing w:after="0"/>
              <w:rPr>
                <w:sz w:val="20"/>
                <w:szCs w:val="20"/>
                <w:color w:val="auto"/>
              </w:rPr>
            </w:pPr>
            <w:r>
              <w:rPr>
                <w:rFonts w:ascii="Arial" w:cs="Arial" w:eastAsia="Arial" w:hAnsi="Arial"/>
                <w:sz w:val="18"/>
                <w:szCs w:val="18"/>
                <w:b w:val="1"/>
                <w:bCs w:val="1"/>
                <w:color w:val="auto"/>
              </w:rPr>
              <w:t>3,251</w:t>
            </w:r>
          </w:p>
        </w:tc>
        <w:tc>
          <w:tcPr>
            <w:tcW w:w="160" w:type="dxa"/>
            <w:vAlign w:val="bottom"/>
            <w:tcBorders>
              <w:bottom w:val="single" w:sz="8" w:color="384348"/>
            </w:tcBorders>
          </w:tcPr>
          <w:p>
            <w:pPr>
              <w:spacing w:after="0"/>
              <w:rPr>
                <w:sz w:val="19"/>
                <w:szCs w:val="19"/>
                <w:color w:val="auto"/>
              </w:rPr>
            </w:pPr>
          </w:p>
        </w:tc>
        <w:tc>
          <w:tcPr>
            <w:tcW w:w="11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3,257</w:t>
            </w:r>
          </w:p>
        </w:tc>
      </w:tr>
      <w:tr>
        <w:trPr>
          <w:trHeight w:val="223"/>
        </w:trPr>
        <w:tc>
          <w:tcPr>
            <w:tcW w:w="57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Amortization of acquisition-related intangibles</w:t>
            </w:r>
            <w:r>
              <w:rPr>
                <w:rFonts w:ascii="Arial" w:cs="Arial" w:eastAsia="Arial" w:hAnsi="Arial"/>
                <w:sz w:val="23"/>
                <w:szCs w:val="23"/>
                <w:color w:val="auto"/>
                <w:vertAlign w:val="superscript"/>
              </w:rPr>
              <w:t>(1)</w:t>
            </w:r>
          </w:p>
        </w:tc>
        <w:tc>
          <w:tcPr>
            <w:tcW w:w="120" w:type="dxa"/>
            <w:vAlign w:val="bottom"/>
            <w:tcBorders>
              <w:bottom w:val="single" w:sz="8" w:color="BFBFBF"/>
            </w:tcBorders>
          </w:tcPr>
          <w:p>
            <w:pPr>
              <w:spacing w:after="0"/>
              <w:rPr>
                <w:sz w:val="19"/>
                <w:szCs w:val="19"/>
                <w:color w:val="auto"/>
              </w:rPr>
            </w:pPr>
          </w:p>
        </w:tc>
        <w:tc>
          <w:tcPr>
            <w:tcW w:w="11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BFBFBF"/>
            </w:tcBorders>
          </w:tcPr>
          <w:p>
            <w:pPr>
              <w:spacing w:after="0"/>
              <w:rPr>
                <w:sz w:val="19"/>
                <w:szCs w:val="19"/>
                <w:color w:val="auto"/>
              </w:rPr>
            </w:pPr>
          </w:p>
        </w:tc>
        <w:tc>
          <w:tcPr>
            <w:tcW w:w="11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57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3"/>
                <w:szCs w:val="23"/>
                <w:color w:val="auto"/>
                <w:vertAlign w:val="superscript"/>
              </w:rPr>
              <w:t>(2)</w:t>
            </w:r>
          </w:p>
        </w:tc>
        <w:tc>
          <w:tcPr>
            <w:tcW w:w="120" w:type="dxa"/>
            <w:vAlign w:val="bottom"/>
            <w:tcBorders>
              <w:bottom w:val="single" w:sz="8" w:color="BFBFBF"/>
            </w:tcBorders>
          </w:tcPr>
          <w:p>
            <w:pPr>
              <w:spacing w:after="0"/>
              <w:rPr>
                <w:sz w:val="19"/>
                <w:szCs w:val="19"/>
                <w:color w:val="auto"/>
              </w:rPr>
            </w:pPr>
          </w:p>
        </w:tc>
        <w:tc>
          <w:tcPr>
            <w:tcW w:w="11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BFBFBF"/>
            </w:tcBorders>
          </w:tcPr>
          <w:p>
            <w:pPr>
              <w:spacing w:after="0"/>
              <w:rPr>
                <w:sz w:val="19"/>
                <w:szCs w:val="19"/>
                <w:color w:val="auto"/>
              </w:rPr>
            </w:pPr>
          </w:p>
        </w:tc>
        <w:tc>
          <w:tcPr>
            <w:tcW w:w="11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57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(3)</w:t>
            </w:r>
          </w:p>
        </w:tc>
        <w:tc>
          <w:tcPr>
            <w:tcW w:w="120" w:type="dxa"/>
            <w:vAlign w:val="bottom"/>
            <w:tcBorders>
              <w:bottom w:val="single" w:sz="8" w:color="BFBFBF"/>
            </w:tcBorders>
          </w:tcPr>
          <w:p>
            <w:pPr>
              <w:spacing w:after="0"/>
              <w:rPr>
                <w:sz w:val="19"/>
                <w:szCs w:val="19"/>
                <w:color w:val="auto"/>
              </w:rPr>
            </w:pPr>
          </w:p>
        </w:tc>
        <w:tc>
          <w:tcPr>
            <w:tcW w:w="11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Borders>
              <w:bottom w:val="single" w:sz="8" w:color="BFBFBF"/>
            </w:tcBorders>
          </w:tcPr>
          <w:p>
            <w:pPr>
              <w:spacing w:after="0"/>
              <w:rPr>
                <w:sz w:val="19"/>
                <w:szCs w:val="19"/>
                <w:color w:val="auto"/>
              </w:rPr>
            </w:pPr>
          </w:p>
        </w:tc>
        <w:tc>
          <w:tcPr>
            <w:tcW w:w="11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(160)</w:t>
            </w:r>
          </w:p>
        </w:tc>
      </w:tr>
      <w:tr>
        <w:trPr>
          <w:trHeight w:val="223"/>
        </w:trPr>
        <w:tc>
          <w:tcPr>
            <w:tcW w:w="57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Environmental expense</w:t>
            </w:r>
            <w:r>
              <w:rPr>
                <w:rFonts w:ascii="Arial" w:cs="Arial" w:eastAsia="Arial" w:hAnsi="Arial"/>
                <w:sz w:val="23"/>
                <w:szCs w:val="23"/>
                <w:color w:val="auto"/>
                <w:vertAlign w:val="superscript"/>
              </w:rPr>
              <w:t>(4)</w:t>
            </w:r>
          </w:p>
        </w:tc>
        <w:tc>
          <w:tcPr>
            <w:tcW w:w="120" w:type="dxa"/>
            <w:vAlign w:val="bottom"/>
            <w:tcBorders>
              <w:bottom w:val="single" w:sz="8" w:color="BFBFBF"/>
            </w:tcBorders>
          </w:tcPr>
          <w:p>
            <w:pPr>
              <w:spacing w:after="0"/>
              <w:rPr>
                <w:sz w:val="19"/>
                <w:szCs w:val="19"/>
                <w:color w:val="auto"/>
              </w:rPr>
            </w:pPr>
          </w:p>
        </w:tc>
        <w:tc>
          <w:tcPr>
            <w:tcW w:w="11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BFBFBF"/>
            </w:tcBorders>
          </w:tcPr>
          <w:p>
            <w:pPr>
              <w:spacing w:after="0"/>
              <w:rPr>
                <w:sz w:val="19"/>
                <w:szCs w:val="19"/>
                <w:color w:val="auto"/>
              </w:rPr>
            </w:pPr>
          </w:p>
        </w:tc>
        <w:tc>
          <w:tcPr>
            <w:tcW w:w="11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(363)</w:t>
            </w:r>
          </w:p>
        </w:tc>
      </w:tr>
      <w:tr>
        <w:trPr>
          <w:trHeight w:val="223"/>
        </w:trPr>
        <w:tc>
          <w:tcPr>
            <w:tcW w:w="57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Honeywell trademark license expense</w:t>
            </w:r>
            <w:r>
              <w:rPr>
                <w:rFonts w:ascii="Arial" w:cs="Arial" w:eastAsia="Arial" w:hAnsi="Arial"/>
                <w:sz w:val="23"/>
                <w:szCs w:val="23"/>
                <w:color w:val="auto"/>
                <w:vertAlign w:val="superscript"/>
              </w:rPr>
              <w:t>(2)</w:t>
            </w:r>
          </w:p>
        </w:tc>
        <w:tc>
          <w:tcPr>
            <w:tcW w:w="120" w:type="dxa"/>
            <w:vAlign w:val="bottom"/>
            <w:tcBorders>
              <w:bottom w:val="single" w:sz="8" w:color="BFBFBF"/>
            </w:tcBorders>
          </w:tcPr>
          <w:p>
            <w:pPr>
              <w:spacing w:after="0"/>
              <w:rPr>
                <w:sz w:val="19"/>
                <w:szCs w:val="19"/>
                <w:color w:val="auto"/>
              </w:rPr>
            </w:pPr>
          </w:p>
        </w:tc>
        <w:tc>
          <w:tcPr>
            <w:tcW w:w="11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BFBFBF"/>
            </w:tcBorders>
          </w:tcPr>
          <w:p>
            <w:pPr>
              <w:spacing w:after="0"/>
              <w:rPr>
                <w:sz w:val="19"/>
                <w:szCs w:val="19"/>
                <w:color w:val="auto"/>
              </w:rPr>
            </w:pPr>
          </w:p>
        </w:tc>
        <w:tc>
          <w:tcPr>
            <w:tcW w:w="11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Pension income (expense)</w:t>
            </w:r>
            <w:r>
              <w:rPr>
                <w:rFonts w:ascii="Arial" w:cs="Arial" w:eastAsia="Arial" w:hAnsi="Arial"/>
                <w:sz w:val="23"/>
                <w:szCs w:val="23"/>
                <w:color w:val="auto"/>
                <w:vertAlign w:val="superscript"/>
              </w:rPr>
              <w:t>(5)</w:t>
            </w:r>
          </w:p>
        </w:tc>
        <w:tc>
          <w:tcPr>
            <w:tcW w:w="120" w:type="dxa"/>
            <w:vAlign w:val="bottom"/>
            <w:tcBorders>
              <w:bottom w:val="single" w:sz="8" w:color="BFBFBF"/>
            </w:tcBorders>
          </w:tcPr>
          <w:p>
            <w:pPr>
              <w:spacing w:after="0"/>
              <w:rPr>
                <w:sz w:val="19"/>
                <w:szCs w:val="19"/>
                <w:color w:val="auto"/>
              </w:rPr>
            </w:pPr>
          </w:p>
        </w:tc>
        <w:tc>
          <w:tcPr>
            <w:tcW w:w="1140" w:type="dxa"/>
            <w:vAlign w:val="bottom"/>
            <w:tcBorders>
              <w:bottom w:val="single" w:sz="8" w:color="BFBFBF"/>
            </w:tcBorders>
          </w:tcPr>
          <w:p>
            <w:pPr>
              <w:jc w:val="right"/>
              <w:ind w:right="13"/>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ind w:right="33"/>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BFBFBF"/>
            </w:tcBorders>
          </w:tcPr>
          <w:p>
            <w:pPr>
              <w:spacing w:after="0"/>
              <w:rPr>
                <w:sz w:val="19"/>
                <w:szCs w:val="19"/>
                <w:color w:val="auto"/>
              </w:rPr>
            </w:pPr>
          </w:p>
        </w:tc>
        <w:tc>
          <w:tcPr>
            <w:tcW w:w="11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7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Interest (expense) income, net</w:t>
            </w:r>
          </w:p>
        </w:tc>
        <w:tc>
          <w:tcPr>
            <w:tcW w:w="120" w:type="dxa"/>
            <w:vAlign w:val="bottom"/>
            <w:tcBorders>
              <w:bottom w:val="single" w:sz="8" w:color="BFBFBF"/>
            </w:tcBorders>
          </w:tcPr>
          <w:p>
            <w:pPr>
              <w:spacing w:after="0"/>
              <w:rPr>
                <w:sz w:val="19"/>
                <w:szCs w:val="19"/>
                <w:color w:val="auto"/>
              </w:rPr>
            </w:pPr>
          </w:p>
        </w:tc>
        <w:tc>
          <w:tcPr>
            <w:tcW w:w="11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Borders>
              <w:bottom w:val="single" w:sz="8" w:color="BFBFBF"/>
            </w:tcBorders>
          </w:tcPr>
          <w:p>
            <w:pPr>
              <w:spacing w:after="0"/>
              <w:rPr>
                <w:sz w:val="19"/>
                <w:szCs w:val="19"/>
                <w:color w:val="auto"/>
              </w:rPr>
            </w:pPr>
          </w:p>
        </w:tc>
        <w:tc>
          <w:tcPr>
            <w:tcW w:w="11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720" w:type="dxa"/>
            <w:vAlign w:val="bottom"/>
            <w:tcBorders>
              <w:bottom w:val="single" w:sz="8" w:color="384348"/>
            </w:tcBorders>
          </w:tcPr>
          <w:p>
            <w:pPr>
              <w:ind w:left="20"/>
              <w:spacing w:after="0" w:line="223" w:lineRule="exact"/>
              <w:rPr>
                <w:sz w:val="20"/>
                <w:szCs w:val="20"/>
                <w:color w:val="auto"/>
              </w:rPr>
            </w:pPr>
            <w:r>
              <w:rPr>
                <w:rFonts w:ascii="Arial" w:cs="Arial" w:eastAsia="Arial" w:hAnsi="Arial"/>
                <w:sz w:val="18"/>
                <w:szCs w:val="18"/>
                <w:color w:val="auto"/>
              </w:rPr>
              <w:t>Other, net</w:t>
            </w:r>
            <w:r>
              <w:rPr>
                <w:rFonts w:ascii="Arial" w:cs="Arial" w:eastAsia="Arial" w:hAnsi="Arial"/>
                <w:sz w:val="23"/>
                <w:szCs w:val="23"/>
                <w:color w:val="auto"/>
                <w:vertAlign w:val="superscript"/>
              </w:rPr>
              <w:t>(6)</w:t>
            </w:r>
          </w:p>
        </w:tc>
        <w:tc>
          <w:tcPr>
            <w:tcW w:w="120" w:type="dxa"/>
            <w:vAlign w:val="bottom"/>
            <w:tcBorders>
              <w:bottom w:val="single" w:sz="8" w:color="384348"/>
            </w:tcBorders>
          </w:tcPr>
          <w:p>
            <w:pPr>
              <w:spacing w:after="0"/>
              <w:rPr>
                <w:sz w:val="19"/>
                <w:szCs w:val="19"/>
                <w:color w:val="auto"/>
              </w:rPr>
            </w:pPr>
          </w:p>
        </w:tc>
        <w:tc>
          <w:tcPr>
            <w:tcW w:w="11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384348"/>
            </w:tcBorders>
          </w:tcPr>
          <w:p>
            <w:pPr>
              <w:spacing w:after="0"/>
              <w:rPr>
                <w:sz w:val="19"/>
                <w:szCs w:val="19"/>
                <w:color w:val="auto"/>
              </w:rPr>
            </w:pPr>
          </w:p>
        </w:tc>
        <w:tc>
          <w:tcPr>
            <w:tcW w:w="11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spacing w:after="0"/>
              <w:rPr>
                <w:sz w:val="19"/>
                <w:szCs w:val="19"/>
                <w:color w:val="auto"/>
              </w:rPr>
            </w:pPr>
          </w:p>
        </w:tc>
        <w:tc>
          <w:tcPr>
            <w:tcW w:w="1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384348"/>
            </w:tcBorders>
          </w:tcPr>
          <w:p>
            <w:pPr>
              <w:spacing w:after="0"/>
              <w:rPr>
                <w:sz w:val="19"/>
                <w:szCs w:val="19"/>
                <w:color w:val="auto"/>
              </w:rPr>
            </w:pPr>
          </w:p>
        </w:tc>
        <w:tc>
          <w:tcPr>
            <w:tcW w:w="11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72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Income before taxes</w:t>
            </w:r>
          </w:p>
        </w:tc>
        <w:tc>
          <w:tcPr>
            <w:tcW w:w="1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384348"/>
            </w:tcBorders>
          </w:tcPr>
          <w:p>
            <w:pPr>
              <w:jc w:val="right"/>
              <w:ind w:right="13"/>
              <w:spacing w:after="0"/>
              <w:rPr>
                <w:sz w:val="20"/>
                <w:szCs w:val="20"/>
                <w:color w:val="auto"/>
              </w:rPr>
            </w:pPr>
            <w:r>
              <w:rPr>
                <w:rFonts w:ascii="Arial" w:cs="Arial" w:eastAsia="Arial" w:hAnsi="Arial"/>
                <w:sz w:val="18"/>
                <w:szCs w:val="18"/>
                <w:b w:val="1"/>
                <w:bCs w:val="1"/>
                <w:color w:val="auto"/>
              </w:rPr>
              <w:t>901</w:t>
            </w:r>
          </w:p>
        </w:tc>
        <w:tc>
          <w:tcPr>
            <w:tcW w:w="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741</w:t>
            </w:r>
          </w:p>
        </w:tc>
        <w:tc>
          <w:tcPr>
            <w:tcW w:w="10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384348"/>
            </w:tcBorders>
          </w:tcPr>
          <w:p>
            <w:pPr>
              <w:jc w:val="right"/>
              <w:ind w:right="33"/>
              <w:spacing w:after="0"/>
              <w:rPr>
                <w:sz w:val="20"/>
                <w:szCs w:val="20"/>
                <w:color w:val="auto"/>
              </w:rPr>
            </w:pPr>
            <w:r>
              <w:rPr>
                <w:rFonts w:ascii="Arial" w:cs="Arial" w:eastAsia="Arial" w:hAnsi="Arial"/>
                <w:sz w:val="18"/>
                <w:szCs w:val="18"/>
                <w:b w:val="1"/>
                <w:bCs w:val="1"/>
                <w:color w:val="auto"/>
              </w:rPr>
              <w:t>2,079</w:t>
            </w:r>
          </w:p>
        </w:tc>
        <w:tc>
          <w:tcPr>
            <w:tcW w:w="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2,674</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included in Cost of products and services sold and Selling, general and administrative expenses.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included in Selling, general and administrative expenses.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included in Selling, general and administrative expenses and Other (income) expense, net.</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included in Cost of products and services sold and Other (income) expense, net.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included in Cost of product and services sold, Selling, general and administrative, Research and development, and Other (income) expense, net.</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include repositioning charges and other expenses.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On October 28, 2026, the Company announced that the Board of Directors declared a dividend of $0.40 per share of common stock outstanding, payable on December 4, 2026 to shareholders of record as of November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340" w:right="640"/>
        <w:spacing w:after="0" w:line="439"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(Dollars in tables and graphs in millions, except per share amounts)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is intended to help the reader understand the results of operations and financial condition of Honeywell Aerospace Inc. (“Honeywell Aerospace”, “we”, “us”, or “our”) for the three and nine months ended September 26, 2026. The financial information as of September 26, 2026, should be read in conjunction with the Management’s Discussion and Analysis of Financial Condition and Results of Operations included in the final Information Statement dated as of June 15, 2026 (the “Information Statement”), which was furnished as Exhibit 99.1 to our Current Report on Form 8-K filed with the SEC on June 15, 2026.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leading global tier-1 aerospace and defense supplier of mission critical systems and technologies that enable the production, maintenance, and safe operation of aerospace and defense platforms. Our systems and technologies support original equipment manufacturer (“OEM”), government, defense prime contractors, and aircraft operator customers across the Commercial Air Transport, Business Aviation, and Defense and Space end markets. Our comprehensive portfolio of market leading systems and technologies are organized into the following segments: Electronic Solutions (“ES”), Engines &amp; Power Systems (“E&amp;PS”), and Control Systems (“CS”).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 from Honeywell</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29, 2026 (the “Distribution Date”), Honeywell completed the spin-off of the Aerospace Business (the “Spin-off”) through a pro-rata distribution (the “Distribution”) of all of our outstanding common shares to holders of record of Honeywell's common shares as of the close of business on June 15, 2026 (the “Record Date”), at which time each holder of Honeywell's common shares received one Aerospace common share for every two Honeywell common shares held as of the close of business on the Record Date, resulting in the Distribution of 316.9 million of our common shares. Upon completion of the Distribution, we became an independent public company. Our common stock is listed under the symbol “HONA” on The Nasdaq Stock Market LLC (“Nasdaq”).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Honeywell</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Spin-off, the financial statements included herein were derived from Honeywell’s historical accounting records and presented on a standalone basis as if our operations had been conducted independently from Honeywell in accordance with GAAP. The accompanying financial statements for periods prior to the Spin-off include certain assets and liabilities that have historically been held at the Honeywell corporate level but are specifically identifiable or otherwise attributable to us. Prior to the Spin-off, Honeywell provided certain services, such as legal, accounting, information technology, human resources, and other infrastructure support, on behalf of us. We consider allocations of these costs to be a reasonable reflection of the benefits we received. However, the financial information presented in the Condensed Consolidated Financial Statements may not reflect our consolidated financial position, operating results, and cash flows had we been a separate standalone entity during the periods presented. Actual costs that would have been incurred if we had been a standalone company would depend on multiple factors, including organizational structure and strategic decisions made in various areas, including information technology and infrastructure. We consider the basis on which the expenses have been allocated to be a reasonable reflection of the utilization of services provided to or the benefits received by us during the periods prior to the Spin-off.</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connection with the Spin-off, we entered into the Separation and Distribution Agreement and certain other agreements with Honeywell, including the Transition Services Agreement, the Tax Matters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Employee Matters Agreement, the Intellectual Property License Agreement, and the Trademark License Agreement. We will utilize Honeywell’s services for a transitional period following the Spin-off before we replace these services over time with services supplied either internally or by third parties. The expenses for such services may vary from the historical costs directly billed and allocated to us.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and expect to incur certain costs in connection with our establishment as a standalone public company (the “transaction costs”). The transaction costs include non-recurring expenses associated with the Spin-off and stand up of functions required to operate as a standalone public entity. These non-recurring costs primarily relate to system implementation costs, business and facilities separation, applicable employee-related costs, the evolution of our brand, and other matters. The transaction costs are expected to continue through at least fiscal year 2027. Additionally, we have incurred and will further incur increased costs as a result of becoming an independent, publicly traded company, primarily from establishing or expanding the corporate support for our businesses, including IT, human resources, treasury, tax, internal audit, risk management, stock-based compensation programs, accounting and financial reporting, investor relations, governance, legal, procurement, and other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Conditions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monitor elevated macroeconomic and geopolitical developments, including armed conflict in the Middle East and its effects on global energy markets and maritime shipping, evolving U.S. trade policy and tariff authorities, inflationary pressures, and financial market uncertainty. Moderated global growth projections and tariffs imposed during 2025 and 2026, together with evolving U.S. trade policy and international negotiations, contributed to increased volatility across global supply chains. Elevated energy prices, tariff-related cost impacts, and continued market uncertainty may continue to contribute to supply chain disruptions, cost inflation, and pricing volatility. We continue to work proactively with our suppliers and customers to mitigate shortages, maintain supply continuity, and manage cost impacts.</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Within Honeywell Aerospace, supply conditions remain varied, with certain suppliers continuing to experience constraints in skilled labor, manufacturing capacity, and sub-tier supply availability, as well as quality and delivery execution challenges. These conditions can limit suppliers’ ability to support production requirements and recover past-due deliveries, and contribute to lead-time uncertainty and cost pressures. We continue to address these challenges through direct engagement with critical suppliers, targeted supplier development and recovery plans, production-rate and capacity validation, improved demand and supply planning, long-term supply agreements, and selective inventory investments. Where feasible, we are also pursuing alternate-source qualification and design changes to improve supply resilience. The timing and effectiveness of these actions depend on supplier execution and applicable engineering, qualification, and customer approval requirements, which can limit our ability to transition supply in the near term. We have also announced the planned expansion of our manufacturing facilities in Tempe, Arizona. These measures are intended to improve supply continuity and support customer commitments while maintaining product quality and reliability; however, supply constraints and associated cost pressures may persist.</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date, these actions have mitigated some of the effects of these conditions; however, supply chain constraints continue to affect certain aspects of our business and may continue to do so in future periods. Their continued effectiveness depends on successful execution, the availability of alternative sources of supply and the duration and severity of the underlying market conditions. If these conditions worsen or our mitigation efforts prove insufficient, our results of operations, cash flows, or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127635</wp:posOffset>
            </wp:positionV>
            <wp:extent cx="5349240" cy="6644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6644005"/>
                    </a:xfrm>
                    <a:prstGeom prst="rect">
                      <a:avLst/>
                    </a:prstGeom>
                    <a:noFill/>
                  </pic:spPr>
                </pic:pic>
              </a:graphicData>
            </a:graphic>
          </wp:anchor>
        </w:drawing>
      </w:r>
    </w:p>
    <w:p>
      <w:pPr>
        <w:sectPr>
          <w:pgSz w:w="11900" w:h="16838" w:orient="portrait"/>
          <w:cols w:equalWidth="0" w:num="1">
            <w:col w:w="10139"/>
          </w:cols>
          <w:pgMar w:left="320" w:top="4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05" w:right="1440" w:bottom="1440" w:gutter="0" w:footer="0" w:header="0"/>
          <w:type w:val="continuous"/>
        </w:sectPr>
      </w:pPr>
    </w:p>
    <w:bookmarkStart w:id="37" w:name="page38"/>
    <w:bookmarkEnd w:id="37"/>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119380</wp:posOffset>
            </wp:positionV>
            <wp:extent cx="5349240" cy="53060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5306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05" w:right="1440" w:bottom="1440" w:gutter="0" w:footer="0" w:header="0"/>
        </w:sectPr>
      </w:pPr>
    </w:p>
    <w:bookmarkStart w:id="38" w:name="page39"/>
    <w:bookmarkEnd w:id="38"/>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Segment Profit/Segment Adjusted EBIT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126365</wp:posOffset>
            </wp:positionV>
            <wp:extent cx="5349240" cy="6471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6471920"/>
                    </a:xfrm>
                    <a:prstGeom prst="rect">
                      <a:avLst/>
                    </a:prstGeom>
                    <a:noFill/>
                  </pic:spPr>
                </pic:pic>
              </a:graphicData>
            </a:graphic>
          </wp:anchor>
        </w:drawing>
      </w:r>
    </w:p>
    <w:p>
      <w:pPr>
        <w:sectPr>
          <w:pgSz w:w="11900" w:h="16838" w:orient="portrait"/>
          <w:cols w:equalWidth="0" w:num="1">
            <w:col w:w="10139"/>
          </w:cols>
          <w:pgMar w:left="320" w:top="4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05" w:right="1440" w:bottom="1440" w:gutter="0" w:footer="0" w:header="0"/>
          <w:type w:val="continuous"/>
        </w:sectPr>
      </w:pPr>
    </w:p>
    <w:bookmarkStart w:id="39" w:name="page40"/>
    <w:bookmarkEnd w:id="39"/>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263515" cy="213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6351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factors contributing to year-over-year changes in our Net sales for the three and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net sales from prior period</w:t>
            </w:r>
          </w:p>
        </w:tc>
        <w:tc>
          <w:tcPr>
            <w:tcW w:w="42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Q3 2026 vs. Q3 2025</w:t>
            </w:r>
          </w:p>
        </w:tc>
        <w:tc>
          <w:tcPr>
            <w:tcW w:w="1960" w:type="dxa"/>
            <w:vAlign w:val="bottom"/>
          </w:tcPr>
          <w:p>
            <w:pPr>
              <w:jc w:val="right"/>
              <w:ind w:right="75"/>
              <w:spacing w:after="0"/>
              <w:rPr>
                <w:sz w:val="20"/>
                <w:szCs w:val="20"/>
                <w:color w:val="auto"/>
              </w:rPr>
            </w:pPr>
            <w:r>
              <w:rPr>
                <w:rFonts w:ascii="Arial" w:cs="Arial" w:eastAsia="Arial" w:hAnsi="Arial"/>
                <w:sz w:val="14"/>
                <w:szCs w:val="14"/>
                <w:b w:val="1"/>
                <w:bCs w:val="1"/>
                <w:color w:val="auto"/>
              </w:rPr>
              <w:t>YTD Q3 2026 vs. YTD Q3</w:t>
            </w:r>
          </w:p>
        </w:tc>
        <w:tc>
          <w:tcPr>
            <w:tcW w:w="0" w:type="dxa"/>
            <w:vAlign w:val="bottom"/>
          </w:tcPr>
          <w:p>
            <w:pPr>
              <w:spacing w:after="0"/>
              <w:rPr>
                <w:sz w:val="1"/>
                <w:szCs w:val="1"/>
                <w:color w:val="auto"/>
              </w:rPr>
            </w:pPr>
          </w:p>
        </w:tc>
      </w:tr>
      <w:tr>
        <w:trPr>
          <w:trHeight w:val="189"/>
        </w:trPr>
        <w:tc>
          <w:tcPr>
            <w:tcW w:w="5020" w:type="dxa"/>
            <w:vAlign w:val="bottom"/>
            <w:tcBorders>
              <w:bottom w:val="single" w:sz="8" w:color="FF4400"/>
            </w:tcBorders>
            <w:vMerge w:val="continue"/>
          </w:tcPr>
          <w:p>
            <w:pPr>
              <w:spacing w:after="0"/>
              <w:rPr>
                <w:sz w:val="16"/>
                <w:szCs w:val="16"/>
                <w:color w:val="auto"/>
              </w:rPr>
            </w:pPr>
          </w:p>
        </w:tc>
        <w:tc>
          <w:tcPr>
            <w:tcW w:w="4260" w:type="dxa"/>
            <w:vAlign w:val="bottom"/>
            <w:tcBorders>
              <w:bottom w:val="single" w:sz="8" w:color="FF4400"/>
            </w:tcBorders>
            <w:vMerge w:val="continue"/>
          </w:tcPr>
          <w:p>
            <w:pPr>
              <w:spacing w:after="0"/>
              <w:rPr>
                <w:sz w:val="16"/>
                <w:szCs w:val="16"/>
                <w:color w:val="auto"/>
              </w:rPr>
            </w:pPr>
          </w:p>
        </w:tc>
        <w:tc>
          <w:tcPr>
            <w:tcW w:w="1960" w:type="dxa"/>
            <w:vAlign w:val="bottom"/>
            <w:tcBorders>
              <w:bottom w:val="single" w:sz="8" w:color="FF4400"/>
            </w:tcBorders>
          </w:tcPr>
          <w:p>
            <w:pPr>
              <w:jc w:val="right"/>
              <w:ind w:right="75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426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2 %</w:t>
            </w:r>
          </w:p>
        </w:tc>
        <w:tc>
          <w:tcPr>
            <w:tcW w:w="19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426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 %</w:t>
            </w:r>
          </w:p>
        </w:tc>
        <w:tc>
          <w:tcPr>
            <w:tcW w:w="19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Acquisitions</w:t>
            </w:r>
          </w:p>
        </w:tc>
        <w:tc>
          <w:tcPr>
            <w:tcW w:w="426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 %</w:t>
            </w:r>
          </w:p>
        </w:tc>
        <w:tc>
          <w:tcPr>
            <w:tcW w:w="19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w:t>
            </w:r>
          </w:p>
        </w:tc>
        <w:tc>
          <w:tcPr>
            <w:tcW w:w="4260" w:type="dxa"/>
            <w:vAlign w:val="bottom"/>
            <w:tcBorders>
              <w:bottom w:val="single" w:sz="8" w:color="384348"/>
            </w:tcBorders>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tcBorders>
              <w:bottom w:val="single" w:sz="8" w:color="384348"/>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Total % change in Net sales</w:t>
            </w:r>
          </w:p>
        </w:tc>
        <w:tc>
          <w:tcPr>
            <w:tcW w:w="4260" w:type="dxa"/>
            <w:vAlign w:val="bottom"/>
            <w:tcBorders>
              <w:bottom w:val="single" w:sz="8" w:color="384348"/>
            </w:tcBorders>
          </w:tcPr>
          <w:p>
            <w:pPr>
              <w:jc w:val="right"/>
              <w:ind w:right="53"/>
              <w:spacing w:after="0"/>
              <w:rPr>
                <w:sz w:val="20"/>
                <w:szCs w:val="20"/>
                <w:color w:val="auto"/>
              </w:rPr>
            </w:pPr>
            <w:r>
              <w:rPr>
                <w:rFonts w:ascii="Arial" w:cs="Arial" w:eastAsia="Arial" w:hAnsi="Arial"/>
                <w:sz w:val="18"/>
                <w:szCs w:val="18"/>
                <w:b w:val="1"/>
                <w:bCs w:val="1"/>
                <w:color w:val="auto"/>
              </w:rPr>
              <w:t>2 %</w:t>
            </w:r>
          </w:p>
        </w:tc>
        <w:tc>
          <w:tcPr>
            <w:tcW w:w="19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55"/>
        </w:trPr>
        <w:tc>
          <w:tcPr>
            <w:tcW w:w="5020" w:type="dxa"/>
            <w:vAlign w:val="bottom"/>
          </w:tcPr>
          <w:p>
            <w:pPr>
              <w:spacing w:after="0"/>
              <w:rPr>
                <w:sz w:val="20"/>
                <w:szCs w:val="20"/>
                <w:color w:val="auto"/>
              </w:rPr>
            </w:pPr>
            <w:r>
              <w:rPr>
                <w:rFonts w:ascii="Arial" w:cs="Arial" w:eastAsia="Arial" w:hAnsi="Arial"/>
                <w:sz w:val="14"/>
                <w:szCs w:val="14"/>
                <w:color w:val="auto"/>
              </w:rPr>
              <w:t>__________________</w:t>
            </w:r>
          </w:p>
        </w:tc>
        <w:tc>
          <w:tcPr>
            <w:tcW w:w="4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Operations—Non-GAAP Financial Measures” for the definition of Organic sales growth.</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discussion of Net sales by reportable segment can be found under the “</w:t>
      </w:r>
      <w:r>
        <w:rPr>
          <w:rFonts w:ascii="Arial" w:cs="Arial" w:eastAsia="Arial" w:hAnsi="Arial"/>
          <w:sz w:val="18"/>
          <w:szCs w:val="18"/>
          <w:u w:val="single" w:color="auto"/>
          <w:color w:val="0000FF"/>
        </w:rPr>
        <w:t>Segment Results</w:t>
      </w:r>
      <w:r>
        <w:rPr>
          <w:rFonts w:ascii="Arial" w:cs="Arial" w:eastAsia="Arial" w:hAnsi="Arial"/>
          <w:sz w:val="18"/>
          <w:szCs w:val="18"/>
          <w:color w:val="auto"/>
        </w:rPr>
        <w:t>” section within this “Management’s Discussion and Analysis of Financial Condition and Results of Operations”.</w:t>
      </w:r>
    </w:p>
    <w:p>
      <w:pPr>
        <w:spacing w:after="0" w:line="101" w:lineRule="exact"/>
        <w:rPr>
          <w:sz w:val="20"/>
          <w:szCs w:val="20"/>
          <w:color w:val="auto"/>
        </w:rPr>
      </w:pPr>
    </w:p>
    <w:p>
      <w:pPr>
        <w:ind w:right="1980"/>
        <w:spacing w:after="0" w:line="437" w:lineRule="auto"/>
        <w:rPr>
          <w:sz w:val="20"/>
          <w:szCs w:val="20"/>
          <w:color w:val="auto"/>
        </w:rPr>
      </w:pPr>
      <w:r>
        <w:rPr>
          <w:rFonts w:ascii="Arial" w:cs="Arial" w:eastAsia="Arial" w:hAnsi="Arial"/>
          <w:sz w:val="18"/>
          <w:szCs w:val="18"/>
          <w:b w:val="1"/>
          <w:bCs w:val="1"/>
          <w:i w:val="1"/>
          <w:iCs w:val="1"/>
          <w:color w:val="auto"/>
        </w:rPr>
        <w:t xml:space="preserve">For the three months ended September 26, 2026 compared with the three months ended September 27, 2025 </w:t>
      </w:r>
      <w:r>
        <w:rPr>
          <w:rFonts w:ascii="Arial" w:cs="Arial" w:eastAsia="Arial" w:hAnsi="Arial"/>
          <w:sz w:val="18"/>
          <w:szCs w:val="18"/>
          <w:color w:val="auto"/>
        </w:rPr>
        <w:t>Net sales increased $111 million due to higher organic sales of $77 million in ES and $35 million in E&amp;PS.</w:t>
      </w:r>
    </w:p>
    <w:p>
      <w:pPr>
        <w:spacing w:after="0" w:line="287" w:lineRule="auto"/>
        <w:rPr>
          <w:sz w:val="20"/>
          <w:szCs w:val="20"/>
          <w:color w:val="auto"/>
        </w:rPr>
      </w:pPr>
      <w:r>
        <w:rPr>
          <w:rFonts w:ascii="Arial" w:cs="Arial" w:eastAsia="Arial" w:hAnsi="Arial"/>
          <w:sz w:val="18"/>
          <w:szCs w:val="18"/>
          <w:color w:val="auto"/>
        </w:rPr>
        <w:t>Further, based on our end markets, net sales increased due to higher organic sales of $49 million in Commercial Original Equipment, $39 million in Commercial Aftermarket, and $22 million in Defense and Space.</w:t>
      </w:r>
    </w:p>
    <w:p>
      <w:pPr>
        <w:spacing w:after="0" w:line="101" w:lineRule="exact"/>
        <w:rPr>
          <w:sz w:val="20"/>
          <w:szCs w:val="20"/>
          <w:color w:val="auto"/>
        </w:rPr>
      </w:pPr>
    </w:p>
    <w:p>
      <w:pPr>
        <w:ind w:right="2120"/>
        <w:spacing w:after="0" w:line="437" w:lineRule="auto"/>
        <w:rPr>
          <w:sz w:val="20"/>
          <w:szCs w:val="20"/>
          <w:color w:val="auto"/>
        </w:rPr>
      </w:pPr>
      <w:r>
        <w:rPr>
          <w:rFonts w:ascii="Arial" w:cs="Arial" w:eastAsia="Arial" w:hAnsi="Arial"/>
          <w:sz w:val="18"/>
          <w:szCs w:val="18"/>
          <w:b w:val="1"/>
          <w:bCs w:val="1"/>
          <w:i w:val="1"/>
          <w:iCs w:val="1"/>
          <w:color w:val="auto"/>
        </w:rPr>
        <w:t xml:space="preserve">For the nine months ended September 26, 2026 compared with the nine months ended September 27, 2025 </w:t>
      </w:r>
      <w:r>
        <w:rPr>
          <w:rFonts w:ascii="Arial" w:cs="Arial" w:eastAsia="Arial" w:hAnsi="Arial"/>
          <w:sz w:val="18"/>
          <w:szCs w:val="18"/>
          <w:color w:val="auto"/>
        </w:rPr>
        <w:t>Net sales increased $622 million due to higher organic sales of $389 million in ES and $191 million in E&amp;PS.</w:t>
      </w:r>
    </w:p>
    <w:p>
      <w:pPr>
        <w:ind w:right="20"/>
        <w:spacing w:after="0" w:line="287" w:lineRule="auto"/>
        <w:rPr>
          <w:sz w:val="20"/>
          <w:szCs w:val="20"/>
          <w:color w:val="auto"/>
        </w:rPr>
      </w:pPr>
      <w:r>
        <w:rPr>
          <w:rFonts w:ascii="Arial" w:cs="Arial" w:eastAsia="Arial" w:hAnsi="Arial"/>
          <w:sz w:val="18"/>
          <w:szCs w:val="18"/>
          <w:color w:val="auto"/>
        </w:rPr>
        <w:t>Further, based on our end markets, net sales increased due to higher organic sales of $291 million in Commercial Aftermarket, $198 million in Defense and Space, and $110 million in Commercial Original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119380</wp:posOffset>
            </wp:positionV>
            <wp:extent cx="5263515" cy="2297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6351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26, 2026 compared with the three months ended September 27, 2025</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products and services sold increased $53 million primarily due to $67 million of higher direct and indirect material costs, net of U.S. government International Emergency Economic Powers Act ("IEEPA") tariff refunds that reduced cost of products and services sold. Gross margin percentage remained flat.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26, 2026 compared with the nine months ended September 27, 2025</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products and services sold increased $440 million primarily due to $386 million of higher direct and indirect material costs, net of IEEPA tariff refunds that reduced cost of products and services sold, and an approximately $70 million increase in inventory obsolescence charges. Gross margin percentage decreased by 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119380</wp:posOffset>
            </wp:positionV>
            <wp:extent cx="5263515" cy="2297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63515" cy="229743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41" w:name="page42"/>
    <w:bookmarkEnd w:id="41"/>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26, 2026 compared with the three months ended September 27, 2025</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Research and development expenses increased $30 million, and as a percentage of Net sales increased 1%, compared to the three months ended September 27, 2025, due to increased investment in new product development.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26, 2026 compared with the nine months ended September 27, 2025</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Research and development expenses increased $66 million compared to the nine months ended September 27, 2025, but remained flat as a percentage of Net sales.</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 summary of our research and development costs for the three and nine months ended September 26, 2026 and September 27, 2025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20" w:type="dxa"/>
            <w:vAlign w:val="bottom"/>
          </w:tcPr>
          <w:p>
            <w:pPr>
              <w:spacing w:after="0"/>
              <w:rPr>
                <w:sz w:val="17"/>
                <w:szCs w:val="17"/>
                <w:color w:val="auto"/>
              </w:rPr>
            </w:pPr>
          </w:p>
        </w:tc>
        <w:tc>
          <w:tcPr>
            <w:tcW w:w="440" w:type="dxa"/>
            <w:vAlign w:val="bottom"/>
            <w:tcBorders>
              <w:bottom w:val="single" w:sz="8" w:color="FF4400"/>
            </w:tcBorders>
          </w:tcPr>
          <w:p>
            <w:pPr>
              <w:spacing w:after="0"/>
              <w:rPr>
                <w:sz w:val="17"/>
                <w:szCs w:val="17"/>
                <w:color w:val="auto"/>
              </w:rPr>
            </w:pPr>
          </w:p>
        </w:tc>
        <w:tc>
          <w:tcPr>
            <w:tcW w:w="1940" w:type="dxa"/>
            <w:vAlign w:val="bottom"/>
            <w:tcBorders>
              <w:bottom w:val="single" w:sz="8" w:color="FF4400"/>
            </w:tcBorders>
            <w:gridSpan w:val="3"/>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FF4400"/>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FF4400"/>
            </w:tcBorders>
          </w:tcPr>
          <w:p>
            <w:pPr>
              <w:spacing w:after="0"/>
              <w:rPr>
                <w:sz w:val="17"/>
                <w:szCs w:val="17"/>
                <w:color w:val="auto"/>
              </w:rPr>
            </w:pPr>
          </w:p>
        </w:tc>
        <w:tc>
          <w:tcPr>
            <w:tcW w:w="1820" w:type="dxa"/>
            <w:vAlign w:val="bottom"/>
            <w:tcBorders>
              <w:bottom w:val="single" w:sz="8" w:color="FF4400"/>
            </w:tcBorders>
            <w:gridSpan w:val="3"/>
          </w:tcPr>
          <w:p>
            <w:pPr>
              <w:jc w:val="right"/>
              <w:ind w:right="56"/>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Borders>
              <w:bottom w:val="single" w:sz="8" w:color="FF4400"/>
            </w:tcBorders>
          </w:tcPr>
          <w:p>
            <w:pPr>
              <w:spacing w:after="0"/>
              <w:rPr>
                <w:sz w:val="17"/>
                <w:szCs w:val="17"/>
                <w:color w:val="auto"/>
              </w:rPr>
            </w:pPr>
          </w:p>
        </w:tc>
      </w:tr>
      <w:tr>
        <w:trPr>
          <w:trHeight w:val="196"/>
        </w:trPr>
        <w:tc>
          <w:tcPr>
            <w:tcW w:w="5220" w:type="dxa"/>
            <w:vAlign w:val="bottom"/>
            <w:tcBorders>
              <w:bottom w:val="single" w:sz="8" w:color="FF4400"/>
            </w:tcBorders>
          </w:tcPr>
          <w:p>
            <w:pPr>
              <w:spacing w:after="0"/>
              <w:rPr>
                <w:sz w:val="17"/>
                <w:szCs w:val="17"/>
                <w:color w:val="auto"/>
              </w:rPr>
            </w:pPr>
          </w:p>
        </w:tc>
        <w:tc>
          <w:tcPr>
            <w:tcW w:w="1520" w:type="dxa"/>
            <w:vAlign w:val="bottom"/>
            <w:tcBorders>
              <w:bottom w:val="single" w:sz="8" w:color="FF4400"/>
            </w:tcBorders>
            <w:gridSpan w:val="3"/>
          </w:tcPr>
          <w:p>
            <w:pPr>
              <w:ind w:left="40"/>
              <w:spacing w:after="0"/>
              <w:rPr>
                <w:sz w:val="20"/>
                <w:szCs w:val="20"/>
                <w:color w:val="auto"/>
              </w:rPr>
            </w:pPr>
            <w:r>
              <w:rPr>
                <w:rFonts w:ascii="Arial" w:cs="Arial" w:eastAsia="Arial" w:hAnsi="Arial"/>
                <w:sz w:val="14"/>
                <w:szCs w:val="14"/>
                <w:b w:val="1"/>
                <w:bCs w:val="1"/>
                <w:color w:val="auto"/>
              </w:rPr>
              <w:t>September 26, 2026</w:t>
            </w:r>
          </w:p>
        </w:tc>
        <w:tc>
          <w:tcPr>
            <w:tcW w:w="1520" w:type="dxa"/>
            <w:vAlign w:val="bottom"/>
            <w:tcBorders>
              <w:bottom w:val="single" w:sz="8" w:color="FF4400"/>
            </w:tcBorders>
            <w:gridSpan w:val="3"/>
          </w:tcPr>
          <w:p>
            <w:pPr>
              <w:ind w:left="40"/>
              <w:spacing w:after="0"/>
              <w:rPr>
                <w:sz w:val="20"/>
                <w:szCs w:val="20"/>
                <w:color w:val="auto"/>
              </w:rPr>
            </w:pPr>
            <w:r>
              <w:rPr>
                <w:rFonts w:ascii="Arial" w:cs="Arial" w:eastAsia="Arial" w:hAnsi="Arial"/>
                <w:sz w:val="14"/>
                <w:szCs w:val="14"/>
                <w:b w:val="1"/>
                <w:bCs w:val="1"/>
                <w:color w:val="auto"/>
              </w:rPr>
              <w:t>September 27, 2025</w:t>
            </w:r>
          </w:p>
        </w:tc>
        <w:tc>
          <w:tcPr>
            <w:tcW w:w="1540" w:type="dxa"/>
            <w:vAlign w:val="bottom"/>
            <w:tcBorders>
              <w:bottom w:val="single" w:sz="8" w:color="FF4400"/>
            </w:tcBorders>
            <w:gridSpan w:val="3"/>
          </w:tcPr>
          <w:p>
            <w:pPr>
              <w:ind w:left="60"/>
              <w:spacing w:after="0"/>
              <w:rPr>
                <w:sz w:val="20"/>
                <w:szCs w:val="20"/>
                <w:color w:val="auto"/>
              </w:rPr>
            </w:pPr>
            <w:r>
              <w:rPr>
                <w:rFonts w:ascii="Arial" w:cs="Arial" w:eastAsia="Arial" w:hAnsi="Arial"/>
                <w:sz w:val="14"/>
                <w:szCs w:val="14"/>
                <w:b w:val="1"/>
                <w:bCs w:val="1"/>
                <w:color w:val="auto"/>
              </w:rPr>
              <w:t>September 26, 2026</w:t>
            </w:r>
          </w:p>
        </w:tc>
        <w:tc>
          <w:tcPr>
            <w:tcW w:w="1440" w:type="dxa"/>
            <w:vAlign w:val="bottom"/>
            <w:tcBorders>
              <w:bottom w:val="single" w:sz="8" w:color="FF4400"/>
            </w:tcBorders>
            <w:gridSpan w:val="2"/>
          </w:tcPr>
          <w:p>
            <w:pPr>
              <w:jc w:val="right"/>
              <w:spacing w:after="0"/>
              <w:rPr>
                <w:sz w:val="20"/>
                <w:szCs w:val="20"/>
                <w:color w:val="auto"/>
              </w:rPr>
            </w:pPr>
            <w:r>
              <w:rPr>
                <w:rFonts w:ascii="Arial" w:cs="Arial" w:eastAsia="Arial" w:hAnsi="Arial"/>
                <w:sz w:val="14"/>
                <w:szCs w:val="14"/>
                <w:b w:val="1"/>
                <w:bCs w:val="1"/>
                <w:color w:val="auto"/>
              </w:rPr>
              <w:t>September 27, 2025</w:t>
            </w:r>
          </w:p>
        </w:tc>
      </w:tr>
      <w:tr>
        <w:trPr>
          <w:trHeight w:val="224"/>
        </w:trPr>
        <w:tc>
          <w:tcPr>
            <w:tcW w:w="52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Company funded research and development expenses</w:t>
            </w:r>
          </w:p>
        </w:tc>
        <w:tc>
          <w:tcPr>
            <w:tcW w:w="440" w:type="dxa"/>
            <w:vAlign w:val="bottom"/>
            <w:tcBorders>
              <w:bottom w:val="single" w:sz="8" w:color="BFBFBF"/>
            </w:tcBorders>
          </w:tcPr>
          <w:p>
            <w:pPr>
              <w:jc w:val="right"/>
              <w:ind w:right="23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jc w:val="right"/>
              <w:ind w:right="27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BFBFBF"/>
            </w:tcBorders>
          </w:tcPr>
          <w:p>
            <w:pPr>
              <w:spacing w:after="0"/>
              <w:rPr>
                <w:sz w:val="19"/>
                <w:szCs w:val="19"/>
                <w:color w:val="auto"/>
              </w:rPr>
            </w:pPr>
          </w:p>
        </w:tc>
        <w:tc>
          <w:tcPr>
            <w:tcW w:w="760" w:type="dxa"/>
            <w:vAlign w:val="bottom"/>
            <w:tcBorders>
              <w:bottom w:val="single" w:sz="8" w:color="BFBFBF"/>
            </w:tcBorders>
          </w:tcPr>
          <w:p>
            <w:pPr>
              <w:jc w:val="right"/>
              <w:ind w:right="5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520</w:t>
            </w:r>
          </w:p>
        </w:tc>
      </w:tr>
      <w:tr>
        <w:trPr>
          <w:trHeight w:val="223"/>
        </w:trPr>
        <w:tc>
          <w:tcPr>
            <w:tcW w:w="5220" w:type="dxa"/>
            <w:vAlign w:val="bottom"/>
            <w:tcBorders>
              <w:bottom w:val="single" w:sz="8" w:color="384348"/>
            </w:tcBorders>
          </w:tcPr>
          <w:p>
            <w:pPr>
              <w:ind w:left="20"/>
              <w:spacing w:after="0" w:line="223" w:lineRule="exact"/>
              <w:rPr>
                <w:sz w:val="20"/>
                <w:szCs w:val="20"/>
                <w:color w:val="auto"/>
              </w:rPr>
            </w:pPr>
            <w:r>
              <w:rPr>
                <w:rFonts w:ascii="Arial" w:cs="Arial" w:eastAsia="Arial" w:hAnsi="Arial"/>
                <w:sz w:val="18"/>
                <w:szCs w:val="18"/>
                <w:color w:val="auto"/>
              </w:rPr>
              <w:t>Customer-sponsored research and development</w:t>
            </w:r>
            <w:r>
              <w:rPr>
                <w:rFonts w:ascii="Arial" w:cs="Arial" w:eastAsia="Arial" w:hAnsi="Arial"/>
                <w:sz w:val="23"/>
                <w:szCs w:val="23"/>
                <w:color w:val="auto"/>
                <w:vertAlign w:val="superscript"/>
              </w:rPr>
              <w:t>(1)</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384348"/>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80" w:type="dxa"/>
            <w:vAlign w:val="bottom"/>
            <w:tcBorders>
              <w:bottom w:val="single" w:sz="8" w:color="384348"/>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384348"/>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r>
      <w:tr>
        <w:trPr>
          <w:trHeight w:val="223"/>
        </w:trPr>
        <w:tc>
          <w:tcPr>
            <w:tcW w:w="522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Total research and development costs</w:t>
            </w: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w:t>
            </w:r>
          </w:p>
        </w:tc>
        <w:tc>
          <w:tcPr>
            <w:tcW w:w="100" w:type="dxa"/>
            <w:vAlign w:val="bottom"/>
            <w:tcBorders>
              <w:bottom w:val="single" w:sz="8" w:color="384348"/>
            </w:tcBorders>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w:t>
            </w:r>
          </w:p>
        </w:tc>
        <w:tc>
          <w:tcPr>
            <w:tcW w:w="80" w:type="dxa"/>
            <w:vAlign w:val="bottom"/>
            <w:tcBorders>
              <w:bottom w:val="single" w:sz="8" w:color="384348"/>
            </w:tcBorders>
          </w:tcPr>
          <w:p>
            <w:pPr>
              <w:spacing w:after="0"/>
              <w:rPr>
                <w:sz w:val="19"/>
                <w:szCs w:val="19"/>
                <w:color w:val="auto"/>
              </w:rPr>
            </w:pP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1,499</w:t>
            </w:r>
          </w:p>
        </w:tc>
        <w:tc>
          <w:tcPr>
            <w:tcW w:w="100" w:type="dxa"/>
            <w:vAlign w:val="bottom"/>
            <w:tcBorders>
              <w:bottom w:val="single" w:sz="8" w:color="384348"/>
            </w:tcBorders>
          </w:tcPr>
          <w:p>
            <w:pPr>
              <w:spacing w:after="0"/>
              <w:rPr>
                <w:sz w:val="19"/>
                <w:szCs w:val="19"/>
                <w:color w:val="auto"/>
              </w:rPr>
            </w:pPr>
          </w:p>
        </w:tc>
        <w:tc>
          <w:tcPr>
            <w:tcW w:w="76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5" w:lineRule="exact"/>
        <w:rPr>
          <w:sz w:val="20"/>
          <w:szCs w:val="20"/>
          <w:color w:val="auto"/>
        </w:rPr>
      </w:pPr>
    </w:p>
    <w:p>
      <w:pPr>
        <w:jc w:val="both"/>
        <w:ind w:left="340" w:hanging="332"/>
        <w:spacing w:after="0" w:line="272" w:lineRule="auto"/>
        <w:tabs>
          <w:tab w:leader="none" w:pos="354"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expenditures on customer programs with significant engineering performance obligations, included in Cost of products and services sold in the Condensed Consolidated Statements of Operations, and capitalized expenditures on deferred customer funded nonrecurring engineering and development activities, included in Other assets in the Condensed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119380</wp:posOffset>
            </wp:positionV>
            <wp:extent cx="5263515" cy="2297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6351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26, 2026 compared with the three months ended September 27, 2025</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Selling, general and administrative expenses increased $30 million primarily due to $54 million of expense associated with the Honeywell trademark license and $26 million of higher labor costs, partially offset by $69 million of lower transaction costs incurred in the period related to the Spin-off. Refer to </w:t>
      </w:r>
      <w:r>
        <w:rPr>
          <w:rFonts w:ascii="Arial" w:cs="Arial" w:eastAsia="Arial" w:hAnsi="Arial"/>
          <w:sz w:val="18"/>
          <w:szCs w:val="18"/>
          <w:u w:val="single" w:color="auto"/>
          <w:color w:val="0000FF"/>
        </w:rPr>
        <w:t>Note 3.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80"/>
        <w:spacing w:after="0" w:line="438" w:lineRule="auto"/>
        <w:rPr>
          <w:sz w:val="20"/>
          <w:szCs w:val="20"/>
          <w:color w:val="auto"/>
        </w:rPr>
      </w:pPr>
      <w:r>
        <w:rPr>
          <w:rFonts w:ascii="Arial" w:cs="Arial" w:eastAsia="Arial" w:hAnsi="Arial"/>
          <w:sz w:val="18"/>
          <w:szCs w:val="18"/>
          <w:u w:val="single" w:color="auto"/>
          <w:color w:val="0000FF"/>
        </w:rPr>
        <w:t>Transactions</w:t>
      </w:r>
      <w:r>
        <w:rPr>
          <w:rFonts w:ascii="Arial" w:cs="Arial" w:eastAsia="Arial" w:hAnsi="Arial"/>
          <w:sz w:val="18"/>
          <w:szCs w:val="18"/>
          <w:color w:val="0000FF"/>
        </w:rPr>
        <w:t xml:space="preserve"> </w:t>
      </w:r>
      <w:r>
        <w:rPr>
          <w:rFonts w:ascii="Arial" w:cs="Arial" w:eastAsia="Arial" w:hAnsi="Arial"/>
          <w:sz w:val="18"/>
          <w:szCs w:val="18"/>
          <w:color w:val="000000"/>
        </w:rPr>
        <w:t>of the Notes to the Condensed Consolidated Financial Statements for a discussion of the Honeywell trademark license.</w:t>
      </w:r>
      <w:r>
        <w:rPr>
          <w:rFonts w:ascii="Arial" w:cs="Arial" w:eastAsia="Arial" w:hAnsi="Arial"/>
          <w:sz w:val="18"/>
          <w:szCs w:val="18"/>
          <w:color w:val="0000FF"/>
        </w:rPr>
        <w:t xml:space="preserve"> </w:t>
      </w:r>
      <w:r>
        <w:rPr>
          <w:rFonts w:ascii="Arial" w:cs="Arial" w:eastAsia="Arial" w:hAnsi="Arial"/>
          <w:sz w:val="18"/>
          <w:szCs w:val="18"/>
          <w:b w:val="1"/>
          <w:bCs w:val="1"/>
          <w:i w:val="1"/>
          <w:iCs w:val="1"/>
          <w:color w:val="000000"/>
        </w:rPr>
        <w:t>For the nine months ended September 26, 2026 compared with the nine months ended September 27, 2025</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expenses increased $ 568 million primarily due to $ 342 million of incremental transaction costs incurred in the period related to the Spin-off, $142 million of higher labor costs, and $54 million of expense associated with the Honeywell trademark license.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119380</wp:posOffset>
            </wp:positionV>
            <wp:extent cx="5263515" cy="2297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6351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26, 2026 compared with the three months ended September 27,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increased $192 million related to the $16.0 billion of senior unsecured notes issued in connection with the Spin-off.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9. Debt and Credit Agreements</w:t>
      </w:r>
      <w:r>
        <w:rPr>
          <w:rFonts w:ascii="Arial" w:cs="Arial" w:eastAsia="Arial" w:hAnsi="Arial"/>
          <w:sz w:val="18"/>
          <w:szCs w:val="18"/>
          <w:color w:val="auto"/>
        </w:rPr>
        <w:t xml:space="preserve"> of the Notes to the Condensed Consolidated Financial Statements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26, 2026 compared with the nine months ended September 27,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increased $418 million related to the $16.0 billion of senior unsecured notes issued in connection with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primarily includes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spacing w:after="0"/>
              <w:rPr>
                <w:sz w:val="17"/>
                <w:szCs w:val="17"/>
                <w:color w:val="auto"/>
              </w:rPr>
            </w:pPr>
          </w:p>
        </w:tc>
        <w:tc>
          <w:tcPr>
            <w:tcW w:w="200" w:type="dxa"/>
            <w:vAlign w:val="bottom"/>
            <w:tcBorders>
              <w:bottom w:val="single" w:sz="8" w:color="FF4400"/>
            </w:tcBorders>
          </w:tcPr>
          <w:p>
            <w:pPr>
              <w:spacing w:after="0"/>
              <w:rPr>
                <w:sz w:val="17"/>
                <w:szCs w:val="17"/>
                <w:color w:val="auto"/>
              </w:rPr>
            </w:pPr>
          </w:p>
        </w:tc>
        <w:tc>
          <w:tcPr>
            <w:tcW w:w="3600" w:type="dxa"/>
            <w:vAlign w:val="bottom"/>
            <w:tcBorders>
              <w:bottom w:val="single" w:sz="8" w:color="FF4400"/>
            </w:tcBorders>
            <w:gridSpan w:val="3"/>
          </w:tcPr>
          <w:p>
            <w:pPr>
              <w:jc w:val="right"/>
              <w:ind w:right="10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80" w:type="dxa"/>
            <w:vAlign w:val="bottom"/>
            <w:tcBorders>
              <w:bottom w:val="single" w:sz="8" w:color="FF4400"/>
            </w:tcBorders>
          </w:tcPr>
          <w:p>
            <w:pPr>
              <w:spacing w:after="0"/>
              <w:rPr>
                <w:sz w:val="17"/>
                <w:szCs w:val="17"/>
                <w:color w:val="auto"/>
              </w:rPr>
            </w:pPr>
          </w:p>
        </w:tc>
        <w:tc>
          <w:tcPr>
            <w:tcW w:w="3620" w:type="dxa"/>
            <w:vAlign w:val="bottom"/>
            <w:tcBorders>
              <w:bottom w:val="single" w:sz="8" w:color="FF4400"/>
            </w:tcBorders>
            <w:gridSpan w:val="3"/>
          </w:tcPr>
          <w:p>
            <w:pPr>
              <w:jc w:val="right"/>
              <w:ind w:right="115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3540" w:type="dxa"/>
            <w:vAlign w:val="bottom"/>
            <w:tcBorders>
              <w:bottom w:val="single" w:sz="8" w:color="FF4400"/>
            </w:tcBorders>
          </w:tcPr>
          <w:p>
            <w:pPr>
              <w:spacing w:after="0"/>
              <w:rPr>
                <w:sz w:val="17"/>
                <w:szCs w:val="17"/>
                <w:color w:val="auto"/>
              </w:rPr>
            </w:pPr>
          </w:p>
        </w:tc>
        <w:tc>
          <w:tcPr>
            <w:tcW w:w="200" w:type="dxa"/>
            <w:vAlign w:val="bottom"/>
            <w:tcBorders>
              <w:bottom w:val="single" w:sz="8" w:color="FF4400"/>
            </w:tcBorders>
          </w:tcPr>
          <w:p>
            <w:pPr>
              <w:spacing w:after="0"/>
              <w:rPr>
                <w:sz w:val="17"/>
                <w:szCs w:val="17"/>
                <w:color w:val="auto"/>
              </w:rPr>
            </w:pPr>
          </w:p>
        </w:tc>
        <w:tc>
          <w:tcPr>
            <w:tcW w:w="1700" w:type="dxa"/>
            <w:vAlign w:val="bottom"/>
            <w:tcBorders>
              <w:bottom w:val="single" w:sz="8" w:color="FF4400"/>
            </w:tcBorders>
          </w:tcPr>
          <w:p>
            <w:pPr>
              <w:jc w:val="right"/>
              <w:ind w:right="215"/>
              <w:spacing w:after="0"/>
              <w:rPr>
                <w:sz w:val="20"/>
                <w:szCs w:val="20"/>
                <w:color w:val="auto"/>
              </w:rPr>
            </w:pPr>
            <w:r>
              <w:rPr>
                <w:rFonts w:ascii="Arial" w:cs="Arial" w:eastAsia="Arial" w:hAnsi="Arial"/>
                <w:sz w:val="14"/>
                <w:szCs w:val="14"/>
                <w:b w:val="1"/>
                <w:bCs w:val="1"/>
                <w:color w:val="auto"/>
              </w:rPr>
              <w:t>September 26, 2026</w:t>
            </w:r>
          </w:p>
        </w:tc>
        <w:tc>
          <w:tcPr>
            <w:tcW w:w="240" w:type="dxa"/>
            <w:vAlign w:val="bottom"/>
            <w:tcBorders>
              <w:bottom w:val="single" w:sz="8" w:color="FF4400"/>
            </w:tcBorders>
          </w:tcPr>
          <w:p>
            <w:pPr>
              <w:spacing w:after="0"/>
              <w:rPr>
                <w:sz w:val="17"/>
                <w:szCs w:val="17"/>
                <w:color w:val="auto"/>
              </w:rPr>
            </w:pPr>
          </w:p>
        </w:tc>
        <w:tc>
          <w:tcPr>
            <w:tcW w:w="1760" w:type="dxa"/>
            <w:vAlign w:val="bottom"/>
            <w:tcBorders>
              <w:bottom w:val="single" w:sz="8" w:color="FF4400"/>
            </w:tcBorders>
            <w:gridSpan w:val="2"/>
          </w:tcPr>
          <w:p>
            <w:pPr>
              <w:ind w:left="60"/>
              <w:spacing w:after="0"/>
              <w:rPr>
                <w:sz w:val="20"/>
                <w:szCs w:val="20"/>
                <w:color w:val="auto"/>
              </w:rPr>
            </w:pPr>
            <w:r>
              <w:rPr>
                <w:rFonts w:ascii="Arial" w:cs="Arial" w:eastAsia="Arial" w:hAnsi="Arial"/>
                <w:sz w:val="14"/>
                <w:szCs w:val="14"/>
                <w:b w:val="1"/>
                <w:bCs w:val="1"/>
                <w:color w:val="auto"/>
              </w:rPr>
              <w:t>September 27, 2025</w:t>
            </w:r>
          </w:p>
        </w:tc>
        <w:tc>
          <w:tcPr>
            <w:tcW w:w="180" w:type="dxa"/>
            <w:vAlign w:val="bottom"/>
            <w:tcBorders>
              <w:bottom w:val="single" w:sz="8" w:color="FF4400"/>
            </w:tcBorders>
          </w:tcPr>
          <w:p>
            <w:pPr>
              <w:spacing w:after="0"/>
              <w:rPr>
                <w:sz w:val="17"/>
                <w:szCs w:val="17"/>
                <w:color w:val="auto"/>
              </w:rPr>
            </w:pPr>
          </w:p>
        </w:tc>
        <w:tc>
          <w:tcPr>
            <w:tcW w:w="1700" w:type="dxa"/>
            <w:vAlign w:val="bottom"/>
            <w:tcBorders>
              <w:bottom w:val="single" w:sz="8" w:color="FF4400"/>
            </w:tcBorders>
          </w:tcPr>
          <w:p>
            <w:pPr>
              <w:jc w:val="right"/>
              <w:ind w:right="215"/>
              <w:spacing w:after="0"/>
              <w:rPr>
                <w:sz w:val="20"/>
                <w:szCs w:val="20"/>
                <w:color w:val="auto"/>
              </w:rPr>
            </w:pPr>
            <w:r>
              <w:rPr>
                <w:rFonts w:ascii="Arial" w:cs="Arial" w:eastAsia="Arial" w:hAnsi="Arial"/>
                <w:sz w:val="14"/>
                <w:szCs w:val="14"/>
                <w:b w:val="1"/>
                <w:bCs w:val="1"/>
                <w:color w:val="auto"/>
              </w:rPr>
              <w:t>September 26, 2026</w:t>
            </w:r>
          </w:p>
        </w:tc>
        <w:tc>
          <w:tcPr>
            <w:tcW w:w="240" w:type="dxa"/>
            <w:vAlign w:val="bottom"/>
            <w:tcBorders>
              <w:bottom w:val="single" w:sz="8" w:color="FF4400"/>
            </w:tcBorders>
          </w:tcPr>
          <w:p>
            <w:pPr>
              <w:spacing w:after="0"/>
              <w:rPr>
                <w:sz w:val="17"/>
                <w:szCs w:val="17"/>
                <w:color w:val="auto"/>
              </w:rPr>
            </w:pPr>
          </w:p>
        </w:tc>
        <w:tc>
          <w:tcPr>
            <w:tcW w:w="1680" w:type="dxa"/>
            <w:vAlign w:val="bottom"/>
            <w:tcBorders>
              <w:bottom w:val="single" w:sz="8" w:color="FF4400"/>
            </w:tcBorders>
          </w:tcPr>
          <w:p>
            <w:pPr>
              <w:jc w:val="right"/>
              <w:ind w:right="173"/>
              <w:spacing w:after="0"/>
              <w:rPr>
                <w:sz w:val="20"/>
                <w:szCs w:val="20"/>
                <w:color w:val="auto"/>
              </w:rPr>
            </w:pPr>
            <w:r>
              <w:rPr>
                <w:rFonts w:ascii="Arial" w:cs="Arial" w:eastAsia="Arial" w:hAnsi="Arial"/>
                <w:sz w:val="14"/>
                <w:szCs w:val="14"/>
                <w:b w:val="1"/>
                <w:bCs w:val="1"/>
                <w:color w:val="auto"/>
              </w:rPr>
              <w:t>September 27, 2025</w:t>
            </w:r>
          </w:p>
        </w:tc>
      </w:tr>
      <w:tr>
        <w:trPr>
          <w:trHeight w:val="224"/>
        </w:trPr>
        <w:tc>
          <w:tcPr>
            <w:tcW w:w="35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Environmental expenses</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BFBFBF"/>
            </w:tcBorders>
          </w:tcPr>
          <w:p>
            <w:pPr>
              <w:jc w:val="right"/>
              <w:ind w:right="35"/>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BFBFBF"/>
            </w:tcBorders>
          </w:tcPr>
          <w:p>
            <w:pPr>
              <w:spacing w:after="0"/>
              <w:rPr>
                <w:sz w:val="19"/>
                <w:szCs w:val="19"/>
                <w:color w:val="auto"/>
              </w:rPr>
            </w:pPr>
          </w:p>
        </w:tc>
        <w:tc>
          <w:tcPr>
            <w:tcW w:w="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BFBFBF"/>
            </w:tcBorders>
          </w:tcPr>
          <w:p>
            <w:pPr>
              <w:jc w:val="right"/>
              <w:ind w:right="35"/>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324</w:t>
            </w:r>
          </w:p>
        </w:tc>
      </w:tr>
      <w:tr>
        <w:trPr>
          <w:trHeight w:val="223"/>
        </w:trPr>
        <w:tc>
          <w:tcPr>
            <w:tcW w:w="35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Transaction costs</w:t>
            </w:r>
          </w:p>
        </w:tc>
        <w:tc>
          <w:tcPr>
            <w:tcW w:w="200" w:type="dxa"/>
            <w:vAlign w:val="bottom"/>
            <w:tcBorders>
              <w:bottom w:val="single" w:sz="8" w:color="BFBFBF"/>
            </w:tcBorders>
          </w:tcPr>
          <w:p>
            <w:pPr>
              <w:spacing w:after="0"/>
              <w:rPr>
                <w:sz w:val="19"/>
                <w:szCs w:val="19"/>
                <w:color w:val="auto"/>
              </w:rPr>
            </w:pPr>
          </w:p>
        </w:tc>
        <w:tc>
          <w:tcPr>
            <w:tcW w:w="1700" w:type="dxa"/>
            <w:vAlign w:val="bottom"/>
            <w:tcBorders>
              <w:bottom w:val="single" w:sz="8" w:color="BFBFBF"/>
            </w:tcBorders>
          </w:tcPr>
          <w:p>
            <w:pPr>
              <w:jc w:val="right"/>
              <w:ind w:right="35"/>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BFBFBF"/>
            </w:tcBorders>
          </w:tcPr>
          <w:p>
            <w:pPr>
              <w:spacing w:after="0"/>
              <w:rPr>
                <w:sz w:val="19"/>
                <w:szCs w:val="19"/>
                <w:color w:val="auto"/>
              </w:rPr>
            </w:pPr>
          </w:p>
        </w:tc>
        <w:tc>
          <w:tcPr>
            <w:tcW w:w="1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BFBFBF"/>
            </w:tcBorders>
          </w:tcPr>
          <w:p>
            <w:pPr>
              <w:spacing w:after="0"/>
              <w:rPr>
                <w:sz w:val="19"/>
                <w:szCs w:val="19"/>
                <w:color w:val="auto"/>
              </w:rPr>
            </w:pPr>
          </w:p>
        </w:tc>
        <w:tc>
          <w:tcPr>
            <w:tcW w:w="180" w:type="dxa"/>
            <w:vAlign w:val="bottom"/>
            <w:tcBorders>
              <w:bottom w:val="single" w:sz="8" w:color="BFBFBF"/>
            </w:tcBorders>
          </w:tcPr>
          <w:p>
            <w:pPr>
              <w:spacing w:after="0"/>
              <w:rPr>
                <w:sz w:val="19"/>
                <w:szCs w:val="19"/>
                <w:color w:val="auto"/>
              </w:rPr>
            </w:pPr>
          </w:p>
        </w:tc>
        <w:tc>
          <w:tcPr>
            <w:tcW w:w="1700" w:type="dxa"/>
            <w:vAlign w:val="bottom"/>
            <w:tcBorders>
              <w:bottom w:val="single" w:sz="8" w:color="BFBFBF"/>
            </w:tcBorders>
          </w:tcPr>
          <w:p>
            <w:pPr>
              <w:jc w:val="right"/>
              <w:ind w:right="35"/>
              <w:spacing w:after="0"/>
              <w:rPr>
                <w:sz w:val="20"/>
                <w:szCs w:val="20"/>
                <w:color w:val="auto"/>
              </w:rPr>
            </w:pPr>
            <w:r>
              <w:rPr>
                <w:rFonts w:ascii="Arial" w:cs="Arial" w:eastAsia="Arial" w:hAnsi="Arial"/>
                <w:sz w:val="18"/>
                <w:szCs w:val="18"/>
                <w:color w:val="auto"/>
              </w:rPr>
              <w:t>127</w:t>
            </w:r>
          </w:p>
        </w:tc>
        <w:tc>
          <w:tcPr>
            <w:tcW w:w="240" w:type="dxa"/>
            <w:vAlign w:val="bottom"/>
            <w:tcBorders>
              <w:bottom w:val="single" w:sz="8" w:color="BFBFBF"/>
            </w:tcBorders>
          </w:tcPr>
          <w:p>
            <w:pPr>
              <w:spacing w:after="0"/>
              <w:rPr>
                <w:sz w:val="19"/>
                <w:szCs w:val="19"/>
                <w:color w:val="auto"/>
              </w:rPr>
            </w:pPr>
          </w:p>
        </w:tc>
        <w:tc>
          <w:tcPr>
            <w:tcW w:w="16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35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Pension (income) expense</w:t>
            </w:r>
          </w:p>
        </w:tc>
        <w:tc>
          <w:tcPr>
            <w:tcW w:w="200" w:type="dxa"/>
            <w:vAlign w:val="bottom"/>
            <w:tcBorders>
              <w:bottom w:val="single" w:sz="8" w:color="BFBFBF"/>
            </w:tcBorders>
          </w:tcPr>
          <w:p>
            <w:pPr>
              <w:spacing w:after="0"/>
              <w:rPr>
                <w:sz w:val="19"/>
                <w:szCs w:val="19"/>
                <w:color w:val="auto"/>
              </w:rPr>
            </w:pPr>
          </w:p>
        </w:tc>
        <w:tc>
          <w:tcPr>
            <w:tcW w:w="17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BFBFBF"/>
            </w:tcBorders>
          </w:tcPr>
          <w:p>
            <w:pPr>
              <w:spacing w:after="0"/>
              <w:rPr>
                <w:sz w:val="19"/>
                <w:szCs w:val="19"/>
                <w:color w:val="auto"/>
              </w:rPr>
            </w:pPr>
          </w:p>
        </w:tc>
        <w:tc>
          <w:tcPr>
            <w:tcW w:w="1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BFBFBF"/>
            </w:tcBorders>
          </w:tcPr>
          <w:p>
            <w:pPr>
              <w:spacing w:after="0"/>
              <w:rPr>
                <w:sz w:val="19"/>
                <w:szCs w:val="19"/>
                <w:color w:val="auto"/>
              </w:rPr>
            </w:pPr>
          </w:p>
        </w:tc>
        <w:tc>
          <w:tcPr>
            <w:tcW w:w="180" w:type="dxa"/>
            <w:vAlign w:val="bottom"/>
            <w:tcBorders>
              <w:bottom w:val="single" w:sz="8" w:color="BFBFBF"/>
            </w:tcBorders>
          </w:tcPr>
          <w:p>
            <w:pPr>
              <w:spacing w:after="0"/>
              <w:rPr>
                <w:sz w:val="19"/>
                <w:szCs w:val="19"/>
                <w:color w:val="auto"/>
              </w:rPr>
            </w:pPr>
          </w:p>
        </w:tc>
        <w:tc>
          <w:tcPr>
            <w:tcW w:w="17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BFBFBF"/>
            </w:tcBorders>
          </w:tcPr>
          <w:p>
            <w:pPr>
              <w:spacing w:after="0"/>
              <w:rPr>
                <w:sz w:val="19"/>
                <w:szCs w:val="19"/>
                <w:color w:val="auto"/>
              </w:rPr>
            </w:pPr>
          </w:p>
        </w:tc>
        <w:tc>
          <w:tcPr>
            <w:tcW w:w="16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35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Equity income of affiliated companies</w:t>
            </w:r>
          </w:p>
        </w:tc>
        <w:tc>
          <w:tcPr>
            <w:tcW w:w="200" w:type="dxa"/>
            <w:vAlign w:val="bottom"/>
            <w:tcBorders>
              <w:bottom w:val="single" w:sz="8" w:color="BFBFBF"/>
            </w:tcBorders>
          </w:tcPr>
          <w:p>
            <w:pPr>
              <w:spacing w:after="0"/>
              <w:rPr>
                <w:sz w:val="19"/>
                <w:szCs w:val="19"/>
                <w:color w:val="auto"/>
              </w:rPr>
            </w:pPr>
          </w:p>
        </w:tc>
        <w:tc>
          <w:tcPr>
            <w:tcW w:w="17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BFBFBF"/>
            </w:tcBorders>
          </w:tcPr>
          <w:p>
            <w:pPr>
              <w:spacing w:after="0"/>
              <w:rPr>
                <w:sz w:val="19"/>
                <w:szCs w:val="19"/>
                <w:color w:val="auto"/>
              </w:rPr>
            </w:pPr>
          </w:p>
        </w:tc>
        <w:tc>
          <w:tcPr>
            <w:tcW w:w="1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BFBFBF"/>
            </w:tcBorders>
          </w:tcPr>
          <w:p>
            <w:pPr>
              <w:spacing w:after="0"/>
              <w:rPr>
                <w:sz w:val="19"/>
                <w:szCs w:val="19"/>
                <w:color w:val="auto"/>
              </w:rPr>
            </w:pPr>
          </w:p>
        </w:tc>
        <w:tc>
          <w:tcPr>
            <w:tcW w:w="180" w:type="dxa"/>
            <w:vAlign w:val="bottom"/>
            <w:tcBorders>
              <w:bottom w:val="single" w:sz="8" w:color="BFBFBF"/>
            </w:tcBorders>
          </w:tcPr>
          <w:p>
            <w:pPr>
              <w:spacing w:after="0"/>
              <w:rPr>
                <w:sz w:val="19"/>
                <w:szCs w:val="19"/>
                <w:color w:val="auto"/>
              </w:rPr>
            </w:pPr>
          </w:p>
        </w:tc>
        <w:tc>
          <w:tcPr>
            <w:tcW w:w="17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BFBFBF"/>
            </w:tcBorders>
          </w:tcPr>
          <w:p>
            <w:pPr>
              <w:spacing w:after="0"/>
              <w:rPr>
                <w:sz w:val="19"/>
                <w:szCs w:val="19"/>
                <w:color w:val="auto"/>
              </w:rPr>
            </w:pPr>
          </w:p>
        </w:tc>
        <w:tc>
          <w:tcPr>
            <w:tcW w:w="16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354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384348"/>
            </w:tcBorders>
          </w:tcPr>
          <w:p>
            <w:pPr>
              <w:spacing w:after="0"/>
              <w:rPr>
                <w:sz w:val="19"/>
                <w:szCs w:val="19"/>
                <w:color w:val="auto"/>
              </w:rPr>
            </w:pPr>
          </w:p>
        </w:tc>
        <w:tc>
          <w:tcPr>
            <w:tcW w:w="17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384348"/>
            </w:tcBorders>
          </w:tcPr>
          <w:p>
            <w:pPr>
              <w:spacing w:after="0"/>
              <w:rPr>
                <w:sz w:val="19"/>
                <w:szCs w:val="19"/>
                <w:color w:val="auto"/>
              </w:rPr>
            </w:pPr>
          </w:p>
        </w:tc>
        <w:tc>
          <w:tcPr>
            <w:tcW w:w="1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384348"/>
            </w:tcBorders>
          </w:tcPr>
          <w:p>
            <w:pPr>
              <w:spacing w:after="0"/>
              <w:rPr>
                <w:sz w:val="19"/>
                <w:szCs w:val="19"/>
                <w:color w:val="auto"/>
              </w:rPr>
            </w:pPr>
          </w:p>
        </w:tc>
        <w:tc>
          <w:tcPr>
            <w:tcW w:w="180" w:type="dxa"/>
            <w:vAlign w:val="bottom"/>
            <w:tcBorders>
              <w:bottom w:val="single" w:sz="8" w:color="384348"/>
            </w:tcBorders>
          </w:tcPr>
          <w:p>
            <w:pPr>
              <w:spacing w:after="0"/>
              <w:rPr>
                <w:sz w:val="19"/>
                <w:szCs w:val="19"/>
                <w:color w:val="auto"/>
              </w:rPr>
            </w:pPr>
          </w:p>
        </w:tc>
        <w:tc>
          <w:tcPr>
            <w:tcW w:w="1700" w:type="dxa"/>
            <w:vAlign w:val="bottom"/>
            <w:tcBorders>
              <w:bottom w:val="single" w:sz="8" w:color="384348"/>
            </w:tcBorders>
          </w:tcPr>
          <w:p>
            <w:pPr>
              <w:jc w:val="right"/>
              <w:ind w:right="35"/>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384348"/>
            </w:tcBorders>
          </w:tcPr>
          <w:p>
            <w:pPr>
              <w:spacing w:after="0"/>
              <w:rPr>
                <w:sz w:val="19"/>
                <w:szCs w:val="19"/>
                <w:color w:val="auto"/>
              </w:rPr>
            </w:pPr>
          </w:p>
        </w:tc>
        <w:tc>
          <w:tcPr>
            <w:tcW w:w="16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354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Total Other (income) expense, net</w:t>
            </w: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(60)</w:t>
            </w:r>
          </w:p>
        </w:tc>
        <w:tc>
          <w:tcPr>
            <w:tcW w:w="2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294</w:t>
            </w:r>
          </w:p>
        </w:tc>
        <w:tc>
          <w:tcPr>
            <w:tcW w:w="100" w:type="dxa"/>
            <w:vAlign w:val="bottom"/>
            <w:tcBorders>
              <w:bottom w:val="single" w:sz="8" w:color="384348"/>
            </w:tcBorders>
          </w:tcPr>
          <w:p>
            <w:pPr>
              <w:spacing w:after="0"/>
              <w:rPr>
                <w:sz w:val="19"/>
                <w:szCs w:val="19"/>
                <w:color w:val="auto"/>
              </w:rPr>
            </w:pPr>
          </w:p>
        </w:tc>
        <w:tc>
          <w:tcPr>
            <w:tcW w:w="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384348"/>
            </w:tcBorders>
          </w:tcPr>
          <w:p>
            <w:pPr>
              <w:jc w:val="right"/>
              <w:ind w:right="35"/>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375</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26, 2026 compared with the three months ended September 27, 2025</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Other income, net increased by $354 million for the three months ended September 26, 2026, primarily due to lower environmental expenses of $215 million, higher pension income of $ 82 million related to the transfer of the U.S. pension plans following the Spin-off, and lower transaction costs of $56 million related to the Spin-off. Refer to </w:t>
      </w:r>
      <w:r>
        <w:rPr>
          <w:rFonts w:ascii="Arial" w:cs="Arial" w:eastAsia="Arial" w:hAnsi="Arial"/>
          <w:sz w:val="18"/>
          <w:szCs w:val="18"/>
          <w:u w:val="single" w:color="auto"/>
          <w:color w:val="0000FF"/>
        </w:rPr>
        <w:t>Note 15. Pension Plans</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16. Commitments and Contingencies</w:t>
      </w:r>
      <w:r>
        <w:rPr>
          <w:rFonts w:ascii="Arial" w:cs="Arial" w:eastAsia="Arial" w:hAnsi="Arial"/>
          <w:sz w:val="18"/>
          <w:szCs w:val="18"/>
          <w:color w:val="auto"/>
        </w:rPr>
        <w:t xml:space="preserve"> of the Notes to the Condensed Consolidated Financial Statements for a discussion of the pension plans and environmental matters.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26, 2026 compared with the nine months ended September 27, 2025</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expense, net decreased by $275 million for the nine months ended September 26, 2026, driven by lower environmental expenses of $271 million and higher pension income of $84 million related to the transfer of the U.S. pension plans following the Spin-off, partially offset by higher transaction costs of $38 million related to the Spin-off.</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119380</wp:posOffset>
            </wp:positionV>
            <wp:extent cx="5177790" cy="2297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7779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26, 2026 compared with the three months ended September 27, 2025</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effective tax rate for the three months ended September 26, 2026, increased 650 basis points compared to the effective tax rate for the three months ended September 27, 2025, primarily due to tax benefits recorded in 2025 related to changes in estimates on prior tax positions (600 basis points), and additional Pillar Two tax expense as a standalone company (270 basis points), partially offset by tax benefits from lower nondeductible transaction costs (300 basis points).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26, 2026 compared with the nine months ended September 27, 2025</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effective tax rate for the nine months ended September 26, 2026, increased 710 basis points compared to the effective tax rate for the nine months ended September 27, 2025, primarily due to nondeductible transaction costs and frictional tax costs in advance of the Spin-off (360 basis points), changes in estimates on prior tax positions (320 basis points), and additional Pillar Two tax expense as a standalone company (160 basis points), partially offset by favorable changes in the jurisdictional mix of earnings (140 basis points).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Aerospace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119380</wp:posOffset>
            </wp:positionV>
            <wp:extent cx="5177790" cy="2297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7779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26, 2026 compared with the three months ended September 27, 2025</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earnings per share of common stock–diluted for the three months ended September 26, 2026 increased $0.26 primarily due to lower environmental expenses ($0.57 after tax) and lower transaction costs ($0.37 after tax) related to the Spin-off, partially offset by higher interest expense ($0.50 after tax) related to the $16.0 billion of senior unsecured notes issued in connection with the Spin-off, and the expense associated with the Honeywell trademark license ($0.14 after tax).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26, 2026 compared with the nine months ended September 27, 2025</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earnings per share of common stock–diluted for the nine months ended September 26, 2026 decreased $ 2.09 primarily due to incremental transaction costs ($1.14 after tax) related to the Spin-off, higher interest expense ($1.04 after tax) related to the $16.0 billion of senior unsecured notes issued in connection with the Spin-off, higher income tax expense ($0.35 after tax), and the expense associated with the Honeywell trademark license ($0.13 after tax), partially offset by lower environmental expenses ($0.72 after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5" w:name="page46"/>
    <w:bookmarkEnd w:id="45"/>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manage and report our operating results through three reportable segments: Electronic Solutions, Engines &amp; Power Systems, and Control Systems. The remainder of our operations are presented in Corporate and All Other, which is not a reportable business segment.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Electronic Solutions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operating results for our ES segment for the three and nine months ended September 26, 2026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20" w:type="dxa"/>
            <w:vAlign w:val="bottom"/>
          </w:tcPr>
          <w:p>
            <w:pPr>
              <w:spacing w:after="0"/>
              <w:rPr>
                <w:sz w:val="17"/>
                <w:szCs w:val="17"/>
                <w:color w:val="auto"/>
              </w:rPr>
            </w:pPr>
          </w:p>
        </w:tc>
        <w:tc>
          <w:tcPr>
            <w:tcW w:w="140" w:type="dxa"/>
            <w:vAlign w:val="bottom"/>
            <w:tcBorders>
              <w:bottom w:val="single" w:sz="8" w:color="FF4400"/>
            </w:tcBorders>
          </w:tcPr>
          <w:p>
            <w:pPr>
              <w:spacing w:after="0"/>
              <w:rPr>
                <w:sz w:val="17"/>
                <w:szCs w:val="17"/>
                <w:color w:val="auto"/>
              </w:rPr>
            </w:pPr>
          </w:p>
        </w:tc>
        <w:tc>
          <w:tcPr>
            <w:tcW w:w="2660" w:type="dxa"/>
            <w:vAlign w:val="bottom"/>
            <w:tcBorders>
              <w:bottom w:val="single" w:sz="8" w:color="FF4400"/>
            </w:tcBorders>
            <w:gridSpan w:val="3"/>
          </w:tcPr>
          <w:p>
            <w:pPr>
              <w:jc w:val="right"/>
              <w:ind w:right="63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60" w:type="dxa"/>
            <w:vAlign w:val="bottom"/>
            <w:tcBorders>
              <w:bottom w:val="single" w:sz="8" w:color="FF4400"/>
            </w:tcBorders>
          </w:tcPr>
          <w:p>
            <w:pPr>
              <w:spacing w:after="0"/>
              <w:rPr>
                <w:sz w:val="17"/>
                <w:szCs w:val="17"/>
                <w:color w:val="auto"/>
              </w:rPr>
            </w:pPr>
          </w:p>
        </w:tc>
        <w:tc>
          <w:tcPr>
            <w:tcW w:w="2660" w:type="dxa"/>
            <w:vAlign w:val="bottom"/>
            <w:tcBorders>
              <w:bottom w:val="single" w:sz="8" w:color="FF4400"/>
            </w:tcBorders>
            <w:gridSpan w:val="3"/>
          </w:tcPr>
          <w:p>
            <w:pPr>
              <w:jc w:val="right"/>
              <w:ind w:right="677"/>
              <w:spacing w:after="0"/>
              <w:rPr>
                <w:sz w:val="20"/>
                <w:szCs w:val="20"/>
                <w:color w:val="auto"/>
              </w:rPr>
            </w:pPr>
            <w:r>
              <w:rPr>
                <w:rFonts w:ascii="Arial" w:cs="Arial" w:eastAsia="Arial" w:hAnsi="Arial"/>
                <w:sz w:val="14"/>
                <w:szCs w:val="14"/>
                <w:b w:val="1"/>
                <w:bCs w:val="1"/>
                <w:color w:val="auto"/>
              </w:rPr>
              <w:t>Nine Months Ended</w:t>
            </w:r>
          </w:p>
        </w:tc>
      </w:tr>
      <w:tr>
        <w:trPr>
          <w:trHeight w:val="147"/>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159"/>
              <w:spacing w:after="0" w:line="147" w:lineRule="exact"/>
              <w:rPr>
                <w:sz w:val="20"/>
                <w:szCs w:val="20"/>
                <w:color w:val="auto"/>
              </w:rPr>
            </w:pPr>
            <w:r>
              <w:rPr>
                <w:rFonts w:ascii="Arial" w:cs="Arial" w:eastAsia="Arial" w:hAnsi="Arial"/>
                <w:sz w:val="14"/>
                <w:szCs w:val="14"/>
                <w:b w:val="1"/>
                <w:bCs w:val="1"/>
                <w:color w:val="auto"/>
              </w:rPr>
              <w:t>September 26,</w:t>
            </w:r>
          </w:p>
        </w:tc>
        <w:tc>
          <w:tcPr>
            <w:tcW w:w="200" w:type="dxa"/>
            <w:vAlign w:val="bottom"/>
          </w:tcPr>
          <w:p>
            <w:pPr>
              <w:spacing w:after="0"/>
              <w:rPr>
                <w:sz w:val="12"/>
                <w:szCs w:val="12"/>
                <w:color w:val="auto"/>
              </w:rPr>
            </w:pPr>
          </w:p>
        </w:tc>
        <w:tc>
          <w:tcPr>
            <w:tcW w:w="1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27,</w:t>
            </w:r>
          </w:p>
        </w:tc>
        <w:tc>
          <w:tcPr>
            <w:tcW w:w="160" w:type="dxa"/>
            <w:vAlign w:val="bottom"/>
          </w:tcPr>
          <w:p>
            <w:pPr>
              <w:spacing w:after="0"/>
              <w:rPr>
                <w:sz w:val="12"/>
                <w:szCs w:val="12"/>
                <w:color w:val="auto"/>
              </w:rPr>
            </w:pPr>
          </w:p>
        </w:tc>
        <w:tc>
          <w:tcPr>
            <w:tcW w:w="1240" w:type="dxa"/>
            <w:vAlign w:val="bottom"/>
          </w:tcPr>
          <w:p>
            <w:pPr>
              <w:jc w:val="right"/>
              <w:ind w:right="139"/>
              <w:spacing w:after="0" w:line="147" w:lineRule="exact"/>
              <w:rPr>
                <w:sz w:val="20"/>
                <w:szCs w:val="20"/>
                <w:color w:val="auto"/>
              </w:rPr>
            </w:pPr>
            <w:r>
              <w:rPr>
                <w:rFonts w:ascii="Arial" w:cs="Arial" w:eastAsia="Arial" w:hAnsi="Arial"/>
                <w:sz w:val="14"/>
                <w:szCs w:val="14"/>
                <w:b w:val="1"/>
                <w:bCs w:val="1"/>
                <w:color w:val="auto"/>
              </w:rPr>
              <w:t>September 26,</w:t>
            </w:r>
          </w:p>
        </w:tc>
        <w:tc>
          <w:tcPr>
            <w:tcW w:w="220" w:type="dxa"/>
            <w:vAlign w:val="bottom"/>
          </w:tcPr>
          <w:p>
            <w:pPr>
              <w:spacing w:after="0"/>
              <w:rPr>
                <w:sz w:val="12"/>
                <w:szCs w:val="12"/>
                <w:color w:val="auto"/>
              </w:rPr>
            </w:pPr>
          </w:p>
        </w:tc>
        <w:tc>
          <w:tcPr>
            <w:tcW w:w="1200" w:type="dxa"/>
            <w:vAlign w:val="bottom"/>
          </w:tcPr>
          <w:p>
            <w:pPr>
              <w:jc w:val="right"/>
              <w:ind w:right="97"/>
              <w:spacing w:after="0" w:line="147" w:lineRule="exact"/>
              <w:rPr>
                <w:sz w:val="20"/>
                <w:szCs w:val="20"/>
                <w:color w:val="auto"/>
              </w:rPr>
            </w:pPr>
            <w:r>
              <w:rPr>
                <w:rFonts w:ascii="Arial" w:cs="Arial" w:eastAsia="Arial" w:hAnsi="Arial"/>
                <w:sz w:val="14"/>
                <w:szCs w:val="14"/>
                <w:b w:val="1"/>
                <w:bCs w:val="1"/>
                <w:color w:val="auto"/>
              </w:rPr>
              <w:t>September 27,</w:t>
            </w:r>
          </w:p>
        </w:tc>
      </w:tr>
      <w:tr>
        <w:trPr>
          <w:trHeight w:val="185"/>
        </w:trPr>
        <w:tc>
          <w:tcPr>
            <w:tcW w:w="5520" w:type="dxa"/>
            <w:vAlign w:val="bottom"/>
            <w:tcBorders>
              <w:bottom w:val="single" w:sz="8" w:color="FF4400"/>
            </w:tcBorders>
          </w:tcPr>
          <w:p>
            <w:pPr>
              <w:spacing w:after="0"/>
              <w:rPr>
                <w:sz w:val="16"/>
                <w:szCs w:val="16"/>
                <w:color w:val="auto"/>
              </w:rPr>
            </w:pPr>
          </w:p>
        </w:tc>
        <w:tc>
          <w:tcPr>
            <w:tcW w:w="140" w:type="dxa"/>
            <w:vAlign w:val="bottom"/>
            <w:tcBorders>
              <w:bottom w:val="single" w:sz="8" w:color="FF4400"/>
            </w:tcBorders>
          </w:tcPr>
          <w:p>
            <w:pPr>
              <w:spacing w:after="0"/>
              <w:rPr>
                <w:sz w:val="16"/>
                <w:szCs w:val="16"/>
                <w:color w:val="auto"/>
              </w:rPr>
            </w:pPr>
          </w:p>
        </w:tc>
        <w:tc>
          <w:tcPr>
            <w:tcW w:w="1260" w:type="dxa"/>
            <w:vAlign w:val="bottom"/>
            <w:tcBorders>
              <w:bottom w:val="single" w:sz="8" w:color="FF4400"/>
            </w:tcBorders>
          </w:tcPr>
          <w:p>
            <w:pPr>
              <w:jc w:val="right"/>
              <w:ind w:right="479"/>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FF4400"/>
            </w:tcBorders>
          </w:tcPr>
          <w:p>
            <w:pPr>
              <w:spacing w:after="0"/>
              <w:rPr>
                <w:sz w:val="16"/>
                <w:szCs w:val="16"/>
                <w:color w:val="auto"/>
              </w:rPr>
            </w:pPr>
          </w:p>
        </w:tc>
        <w:tc>
          <w:tcPr>
            <w:tcW w:w="1200" w:type="dxa"/>
            <w:vAlign w:val="bottom"/>
            <w:tcBorders>
              <w:bottom w:val="single" w:sz="8" w:color="FF4400"/>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FF4400"/>
            </w:tcBorders>
          </w:tcPr>
          <w:p>
            <w:pPr>
              <w:spacing w:after="0"/>
              <w:rPr>
                <w:sz w:val="16"/>
                <w:szCs w:val="16"/>
                <w:color w:val="auto"/>
              </w:rPr>
            </w:pPr>
          </w:p>
        </w:tc>
        <w:tc>
          <w:tcPr>
            <w:tcW w:w="160" w:type="dxa"/>
            <w:vAlign w:val="bottom"/>
            <w:tcBorders>
              <w:bottom w:val="single" w:sz="8" w:color="FF4400"/>
            </w:tcBorders>
          </w:tcPr>
          <w:p>
            <w:pPr>
              <w:spacing w:after="0"/>
              <w:rPr>
                <w:sz w:val="16"/>
                <w:szCs w:val="16"/>
                <w:color w:val="auto"/>
              </w:rPr>
            </w:pPr>
          </w:p>
        </w:tc>
        <w:tc>
          <w:tcPr>
            <w:tcW w:w="1240" w:type="dxa"/>
            <w:vAlign w:val="bottom"/>
            <w:tcBorders>
              <w:bottom w:val="single" w:sz="8" w:color="FF4400"/>
            </w:tcBorders>
          </w:tcPr>
          <w:p>
            <w:pPr>
              <w:jc w:val="right"/>
              <w:ind w:right="479"/>
              <w:spacing w:after="0"/>
              <w:rPr>
                <w:sz w:val="20"/>
                <w:szCs w:val="20"/>
                <w:color w:val="auto"/>
              </w:rPr>
            </w:pPr>
            <w:r>
              <w:rPr>
                <w:rFonts w:ascii="Arial" w:cs="Arial" w:eastAsia="Arial" w:hAnsi="Arial"/>
                <w:sz w:val="14"/>
                <w:szCs w:val="14"/>
                <w:b w:val="1"/>
                <w:bCs w:val="1"/>
                <w:color w:val="auto"/>
              </w:rPr>
              <w:t>2026</w:t>
            </w:r>
          </w:p>
        </w:tc>
        <w:tc>
          <w:tcPr>
            <w:tcW w:w="220" w:type="dxa"/>
            <w:vAlign w:val="bottom"/>
            <w:tcBorders>
              <w:bottom w:val="single" w:sz="8" w:color="FF4400"/>
            </w:tcBorders>
          </w:tcPr>
          <w:p>
            <w:pPr>
              <w:spacing w:after="0"/>
              <w:rPr>
                <w:sz w:val="16"/>
                <w:szCs w:val="16"/>
                <w:color w:val="auto"/>
              </w:rPr>
            </w:pPr>
          </w:p>
        </w:tc>
        <w:tc>
          <w:tcPr>
            <w:tcW w:w="1200" w:type="dxa"/>
            <w:vAlign w:val="bottom"/>
            <w:tcBorders>
              <w:bottom w:val="single" w:sz="8" w:color="FF4400"/>
            </w:tcBorders>
          </w:tcPr>
          <w:p>
            <w:pPr>
              <w:jc w:val="right"/>
              <w:ind w:right="437"/>
              <w:spacing w:after="0"/>
              <w:rPr>
                <w:sz w:val="20"/>
                <w:szCs w:val="20"/>
                <w:color w:val="auto"/>
              </w:rPr>
            </w:pPr>
            <w:r>
              <w:rPr>
                <w:rFonts w:ascii="Arial" w:cs="Arial" w:eastAsia="Arial" w:hAnsi="Arial"/>
                <w:sz w:val="14"/>
                <w:szCs w:val="14"/>
                <w:b w:val="1"/>
                <w:bCs w:val="1"/>
                <w:color w:val="auto"/>
              </w:rPr>
              <w:t>2025</w:t>
            </w:r>
          </w:p>
        </w:tc>
      </w:tr>
      <w:tr>
        <w:trPr>
          <w:trHeight w:val="223"/>
        </w:trPr>
        <w:tc>
          <w:tcPr>
            <w:tcW w:w="55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BFBFBF"/>
            </w:tcBorders>
          </w:tcPr>
          <w:p>
            <w:pPr>
              <w:jc w:val="right"/>
              <w:ind w:right="219"/>
              <w:spacing w:after="0"/>
              <w:rPr>
                <w:sz w:val="20"/>
                <w:szCs w:val="20"/>
                <w:color w:val="auto"/>
              </w:rPr>
            </w:pPr>
            <w:r>
              <w:rPr>
                <w:rFonts w:ascii="Arial" w:cs="Arial" w:eastAsia="Arial" w:hAnsi="Arial"/>
                <w:sz w:val="18"/>
                <w:szCs w:val="18"/>
                <w:color w:val="auto"/>
              </w:rPr>
              <w:t>1,784</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ind w:right="157"/>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BFBF"/>
            </w:tcBorders>
          </w:tcPr>
          <w:p>
            <w:pPr>
              <w:jc w:val="right"/>
              <w:ind w:right="199"/>
              <w:spacing w:after="0"/>
              <w:rPr>
                <w:sz w:val="20"/>
                <w:szCs w:val="20"/>
                <w:color w:val="auto"/>
              </w:rPr>
            </w:pPr>
            <w:r>
              <w:rPr>
                <w:rFonts w:ascii="Arial" w:cs="Arial" w:eastAsia="Arial" w:hAnsi="Arial"/>
                <w:sz w:val="18"/>
                <w:szCs w:val="18"/>
                <w:color w:val="auto"/>
              </w:rPr>
              <w:t>5,299</w:t>
            </w:r>
          </w:p>
        </w:tc>
        <w:tc>
          <w:tcPr>
            <w:tcW w:w="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ind w:right="157"/>
              <w:spacing w:after="0"/>
              <w:rPr>
                <w:sz w:val="20"/>
                <w:szCs w:val="20"/>
                <w:color w:val="auto"/>
              </w:rPr>
            </w:pPr>
            <w:r>
              <w:rPr>
                <w:rFonts w:ascii="Arial" w:cs="Arial" w:eastAsia="Arial" w:hAnsi="Arial"/>
                <w:sz w:val="18"/>
                <w:szCs w:val="18"/>
                <w:color w:val="auto"/>
              </w:rPr>
              <w:t>4,903</w:t>
            </w:r>
          </w:p>
        </w:tc>
      </w:tr>
      <w:tr>
        <w:trPr>
          <w:trHeight w:val="223"/>
        </w:trPr>
        <w:tc>
          <w:tcPr>
            <w:tcW w:w="55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Segment profit/Segment adjusted EBIT</w:t>
            </w:r>
            <w:r>
              <w:rPr>
                <w:rFonts w:ascii="Arial" w:cs="Arial" w:eastAsia="Arial" w:hAnsi="Arial"/>
                <w:sz w:val="23"/>
                <w:szCs w:val="23"/>
                <w:color w:val="auto"/>
                <w:vertAlign w:val="superscript"/>
              </w:rPr>
              <w:t>(1)</w:t>
            </w:r>
          </w:p>
        </w:tc>
        <w:tc>
          <w:tcPr>
            <w:tcW w:w="140" w:type="dxa"/>
            <w:vAlign w:val="bottom"/>
            <w:tcBorders>
              <w:bottom w:val="single" w:sz="8" w:color="BFBFBF"/>
            </w:tcBorders>
          </w:tcPr>
          <w:p>
            <w:pPr>
              <w:spacing w:after="0"/>
              <w:rPr>
                <w:sz w:val="19"/>
                <w:szCs w:val="19"/>
                <w:color w:val="auto"/>
              </w:rPr>
            </w:pPr>
          </w:p>
        </w:tc>
        <w:tc>
          <w:tcPr>
            <w:tcW w:w="1260" w:type="dxa"/>
            <w:vAlign w:val="bottom"/>
            <w:tcBorders>
              <w:bottom w:val="single" w:sz="8" w:color="BFBFBF"/>
            </w:tcBorders>
          </w:tcPr>
          <w:p>
            <w:pPr>
              <w:jc w:val="right"/>
              <w:ind w:right="219"/>
              <w:spacing w:after="0"/>
              <w:rPr>
                <w:sz w:val="20"/>
                <w:szCs w:val="20"/>
                <w:color w:val="auto"/>
              </w:rPr>
            </w:pPr>
            <w:r>
              <w:rPr>
                <w:rFonts w:ascii="Arial" w:cs="Arial" w:eastAsia="Arial" w:hAnsi="Arial"/>
                <w:sz w:val="18"/>
                <w:szCs w:val="18"/>
                <w:color w:val="auto"/>
              </w:rPr>
              <w:t>564</w:t>
            </w:r>
          </w:p>
        </w:tc>
        <w:tc>
          <w:tcPr>
            <w:tcW w:w="20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ind w:right="157"/>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240" w:type="dxa"/>
            <w:vAlign w:val="bottom"/>
            <w:tcBorders>
              <w:bottom w:val="single" w:sz="8" w:color="BFBFBF"/>
            </w:tcBorders>
          </w:tcPr>
          <w:p>
            <w:pPr>
              <w:jc w:val="right"/>
              <w:ind w:right="199"/>
              <w:spacing w:after="0"/>
              <w:rPr>
                <w:sz w:val="20"/>
                <w:szCs w:val="20"/>
                <w:color w:val="auto"/>
              </w:rPr>
            </w:pPr>
            <w:r>
              <w:rPr>
                <w:rFonts w:ascii="Arial" w:cs="Arial" w:eastAsia="Arial" w:hAnsi="Arial"/>
                <w:sz w:val="18"/>
                <w:szCs w:val="18"/>
                <w:color w:val="auto"/>
              </w:rPr>
              <w:t>1,533</w:t>
            </w:r>
          </w:p>
        </w:tc>
        <w:tc>
          <w:tcPr>
            <w:tcW w:w="2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ind w:right="157"/>
              <w:spacing w:after="0"/>
              <w:rPr>
                <w:sz w:val="20"/>
                <w:szCs w:val="20"/>
                <w:color w:val="auto"/>
              </w:rPr>
            </w:pPr>
            <w:r>
              <w:rPr>
                <w:rFonts w:ascii="Arial" w:cs="Arial" w:eastAsia="Arial" w:hAnsi="Arial"/>
                <w:sz w:val="18"/>
                <w:szCs w:val="18"/>
                <w:color w:val="auto"/>
              </w:rPr>
              <w:t>1,395</w:t>
            </w:r>
          </w:p>
        </w:tc>
      </w:tr>
      <w:tr>
        <w:trPr>
          <w:trHeight w:val="223"/>
        </w:trPr>
        <w:tc>
          <w:tcPr>
            <w:tcW w:w="55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Segment profit margin/Segment adjusted EBIT margin</w:t>
            </w:r>
            <w:r>
              <w:rPr>
                <w:rFonts w:ascii="Arial" w:cs="Arial" w:eastAsia="Arial" w:hAnsi="Arial"/>
                <w:sz w:val="23"/>
                <w:szCs w:val="23"/>
                <w:color w:val="auto"/>
                <w:vertAlign w:val="superscript"/>
              </w:rPr>
              <w:t>(1)</w:t>
            </w:r>
          </w:p>
        </w:tc>
        <w:tc>
          <w:tcPr>
            <w:tcW w:w="140" w:type="dxa"/>
            <w:vAlign w:val="bottom"/>
            <w:tcBorders>
              <w:bottom w:val="single" w:sz="8" w:color="BFBFBF"/>
            </w:tcBorders>
          </w:tcPr>
          <w:p>
            <w:pPr>
              <w:spacing w:after="0"/>
              <w:rPr>
                <w:sz w:val="19"/>
                <w:szCs w:val="19"/>
                <w:color w:val="auto"/>
              </w:rPr>
            </w:pPr>
          </w:p>
        </w:tc>
        <w:tc>
          <w:tcPr>
            <w:tcW w:w="12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32 %</w:t>
            </w:r>
          </w:p>
        </w:tc>
        <w:tc>
          <w:tcPr>
            <w:tcW w:w="20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29 %</w:t>
            </w:r>
          </w:p>
        </w:tc>
        <w:tc>
          <w:tcPr>
            <w:tcW w:w="2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28 %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5" w:lineRule="exact"/>
        <w:rPr>
          <w:sz w:val="20"/>
          <w:szCs w:val="20"/>
          <w:color w:val="auto"/>
        </w:rPr>
      </w:pPr>
    </w:p>
    <w:p>
      <w:pPr>
        <w:ind w:left="340" w:hanging="332"/>
        <w:spacing w:after="0" w:line="284" w:lineRule="auto"/>
        <w:tabs>
          <w:tab w:leader="none" w:pos="354"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Operations—Non-GAAP Financial Measures” for the definition of Segment adjusted EBIT and Segment adjusted EBIT margin.</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sets forth the factors contributing to year-over-year changes in our ES segment’s Net sales for the three and nine months ended September 26, 2026: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3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Q3 2026 vs. Q3 2025</w:t>
            </w:r>
          </w:p>
        </w:tc>
        <w:tc>
          <w:tcPr>
            <w:tcW w:w="1960" w:type="dxa"/>
            <w:vAlign w:val="bottom"/>
          </w:tcPr>
          <w:p>
            <w:pPr>
              <w:jc w:val="right"/>
              <w:ind w:right="75"/>
              <w:spacing w:after="0"/>
              <w:rPr>
                <w:sz w:val="20"/>
                <w:szCs w:val="20"/>
                <w:color w:val="auto"/>
              </w:rPr>
            </w:pPr>
            <w:r>
              <w:rPr>
                <w:rFonts w:ascii="Arial" w:cs="Arial" w:eastAsia="Arial" w:hAnsi="Arial"/>
                <w:sz w:val="14"/>
                <w:szCs w:val="14"/>
                <w:b w:val="1"/>
                <w:bCs w:val="1"/>
                <w:color w:val="auto"/>
              </w:rPr>
              <w:t>YTD Q3 2026 vs. YTD Q3</w:t>
            </w:r>
          </w:p>
        </w:tc>
        <w:tc>
          <w:tcPr>
            <w:tcW w:w="0" w:type="dxa"/>
            <w:vAlign w:val="bottom"/>
          </w:tcPr>
          <w:p>
            <w:pPr>
              <w:spacing w:after="0"/>
              <w:rPr>
                <w:sz w:val="1"/>
                <w:szCs w:val="1"/>
                <w:color w:val="auto"/>
              </w:rPr>
            </w:pPr>
          </w:p>
        </w:tc>
      </w:tr>
      <w:tr>
        <w:trPr>
          <w:trHeight w:val="185"/>
        </w:trPr>
        <w:tc>
          <w:tcPr>
            <w:tcW w:w="4920" w:type="dxa"/>
            <w:vAlign w:val="bottom"/>
            <w:tcBorders>
              <w:bottom w:val="single" w:sz="8" w:color="FF4400"/>
            </w:tcBorders>
          </w:tcPr>
          <w:p>
            <w:pPr>
              <w:spacing w:after="0"/>
              <w:rPr>
                <w:sz w:val="16"/>
                <w:szCs w:val="16"/>
                <w:color w:val="auto"/>
              </w:rPr>
            </w:pPr>
          </w:p>
        </w:tc>
        <w:tc>
          <w:tcPr>
            <w:tcW w:w="4360" w:type="dxa"/>
            <w:vAlign w:val="bottom"/>
            <w:tcBorders>
              <w:bottom w:val="single" w:sz="8" w:color="FF4400"/>
            </w:tcBorders>
            <w:vMerge w:val="continue"/>
          </w:tcPr>
          <w:p>
            <w:pPr>
              <w:spacing w:after="0"/>
              <w:rPr>
                <w:sz w:val="16"/>
                <w:szCs w:val="16"/>
                <w:color w:val="auto"/>
              </w:rPr>
            </w:pPr>
          </w:p>
        </w:tc>
        <w:tc>
          <w:tcPr>
            <w:tcW w:w="1960" w:type="dxa"/>
            <w:vAlign w:val="bottom"/>
            <w:tcBorders>
              <w:bottom w:val="single" w:sz="8" w:color="FF4400"/>
            </w:tcBorders>
          </w:tcPr>
          <w:p>
            <w:pPr>
              <w:jc w:val="right"/>
              <w:ind w:right="75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436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5 %</w:t>
            </w:r>
          </w:p>
        </w:tc>
        <w:tc>
          <w:tcPr>
            <w:tcW w:w="19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436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(1)%</w:t>
            </w:r>
          </w:p>
        </w:tc>
        <w:tc>
          <w:tcPr>
            <w:tcW w:w="19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Acquisitions</w:t>
            </w:r>
          </w:p>
        </w:tc>
        <w:tc>
          <w:tcPr>
            <w:tcW w:w="436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 %</w:t>
            </w:r>
          </w:p>
        </w:tc>
        <w:tc>
          <w:tcPr>
            <w:tcW w:w="19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w:t>
            </w:r>
          </w:p>
        </w:tc>
        <w:tc>
          <w:tcPr>
            <w:tcW w:w="4360" w:type="dxa"/>
            <w:vAlign w:val="bottom"/>
            <w:tcBorders>
              <w:bottom w:val="single" w:sz="8" w:color="384348"/>
            </w:tcBorders>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tcBorders>
              <w:bottom w:val="single" w:sz="8" w:color="384348"/>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Total % change in Net sales</w:t>
            </w:r>
          </w:p>
        </w:tc>
        <w:tc>
          <w:tcPr>
            <w:tcW w:w="4360" w:type="dxa"/>
            <w:vAlign w:val="bottom"/>
            <w:tcBorders>
              <w:bottom w:val="single" w:sz="8" w:color="384348"/>
            </w:tcBorders>
          </w:tcPr>
          <w:p>
            <w:pPr>
              <w:jc w:val="right"/>
              <w:ind w:right="53"/>
              <w:spacing w:after="0"/>
              <w:rPr>
                <w:sz w:val="20"/>
                <w:szCs w:val="20"/>
                <w:color w:val="auto"/>
              </w:rPr>
            </w:pPr>
            <w:r>
              <w:rPr>
                <w:rFonts w:ascii="Arial" w:cs="Arial" w:eastAsia="Arial" w:hAnsi="Arial"/>
                <w:sz w:val="18"/>
                <w:szCs w:val="18"/>
                <w:b w:val="1"/>
                <w:bCs w:val="1"/>
                <w:color w:val="auto"/>
              </w:rPr>
              <w:t>4 %</w:t>
            </w:r>
          </w:p>
        </w:tc>
        <w:tc>
          <w:tcPr>
            <w:tcW w:w="19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68"/>
        </w:trPr>
        <w:tc>
          <w:tcPr>
            <w:tcW w:w="4920" w:type="dxa"/>
            <w:vAlign w:val="bottom"/>
          </w:tcPr>
          <w:p>
            <w:pPr>
              <w:spacing w:after="0"/>
              <w:rPr>
                <w:sz w:val="20"/>
                <w:szCs w:val="20"/>
                <w:color w:val="auto"/>
              </w:rPr>
            </w:pPr>
            <w:r>
              <w:rPr>
                <w:rFonts w:ascii="Arial" w:cs="Arial" w:eastAsia="Arial" w:hAnsi="Arial"/>
                <w:sz w:val="14"/>
                <w:szCs w:val="14"/>
                <w:color w:val="auto"/>
              </w:rPr>
              <w:t>__________________</w:t>
            </w:r>
          </w:p>
        </w:tc>
        <w:tc>
          <w:tcPr>
            <w:tcW w:w="43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Operations—Non-GAAP Financial Measures” for the definition of Organic sales growth.</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26, 2026 compared with the three months ended September 27, 2025</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ES Net sales increased $76 million due to higher organic sales of $54 million in Commercial Original Equipment and $42 million in Defense and Space, offset by lower organic sales of $20 million in Commercial Aftermarket.</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Segment Profit and Segment adjusted EBIT increased by $54 million or 11% and Segment profit margin and Segment adjusted EBIT margin increased 2% for the three months ended September 26, 2026.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26, 2026 compared with the nine months ended September 27, 2025</w:t>
      </w:r>
    </w:p>
    <w:p>
      <w:pPr>
        <w:spacing w:after="0" w:line="16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ES Net sales increased $396 million due to higher organic sales of $216 million in Defense and Space and $162 million in Commercial Original Equipment.</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Segment Profit and Segment adjusted EBIT increased by $138 million or 10% and Segment profit margin and Segment adjusted EBIT margin increased 1% for the nine months ended September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Engines &amp; Power Systems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operating results for our E&amp;PS segment for the three and nine months ended September 26, 2026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20" w:type="dxa"/>
            <w:vAlign w:val="bottom"/>
          </w:tcPr>
          <w:p>
            <w:pPr>
              <w:spacing w:after="0"/>
              <w:rPr>
                <w:sz w:val="17"/>
                <w:szCs w:val="17"/>
                <w:color w:val="auto"/>
              </w:rPr>
            </w:pPr>
          </w:p>
        </w:tc>
        <w:tc>
          <w:tcPr>
            <w:tcW w:w="140" w:type="dxa"/>
            <w:vAlign w:val="bottom"/>
            <w:tcBorders>
              <w:bottom w:val="single" w:sz="8" w:color="FF4400"/>
            </w:tcBorders>
          </w:tcPr>
          <w:p>
            <w:pPr>
              <w:spacing w:after="0"/>
              <w:rPr>
                <w:sz w:val="17"/>
                <w:szCs w:val="17"/>
                <w:color w:val="auto"/>
              </w:rPr>
            </w:pPr>
          </w:p>
        </w:tc>
        <w:tc>
          <w:tcPr>
            <w:tcW w:w="2660" w:type="dxa"/>
            <w:vAlign w:val="bottom"/>
            <w:tcBorders>
              <w:bottom w:val="single" w:sz="8" w:color="FF4400"/>
            </w:tcBorders>
            <w:gridSpan w:val="3"/>
          </w:tcPr>
          <w:p>
            <w:pPr>
              <w:jc w:val="right"/>
              <w:ind w:right="63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60" w:type="dxa"/>
            <w:vAlign w:val="bottom"/>
            <w:tcBorders>
              <w:bottom w:val="single" w:sz="8" w:color="FF4400"/>
            </w:tcBorders>
          </w:tcPr>
          <w:p>
            <w:pPr>
              <w:spacing w:after="0"/>
              <w:rPr>
                <w:sz w:val="17"/>
                <w:szCs w:val="17"/>
                <w:color w:val="auto"/>
              </w:rPr>
            </w:pPr>
          </w:p>
        </w:tc>
        <w:tc>
          <w:tcPr>
            <w:tcW w:w="2660" w:type="dxa"/>
            <w:vAlign w:val="bottom"/>
            <w:tcBorders>
              <w:bottom w:val="single" w:sz="8" w:color="FF4400"/>
            </w:tcBorders>
            <w:gridSpan w:val="3"/>
          </w:tcPr>
          <w:p>
            <w:pPr>
              <w:jc w:val="right"/>
              <w:ind w:right="677"/>
              <w:spacing w:after="0"/>
              <w:rPr>
                <w:sz w:val="20"/>
                <w:szCs w:val="20"/>
                <w:color w:val="auto"/>
              </w:rPr>
            </w:pPr>
            <w:r>
              <w:rPr>
                <w:rFonts w:ascii="Arial" w:cs="Arial" w:eastAsia="Arial" w:hAnsi="Arial"/>
                <w:sz w:val="14"/>
                <w:szCs w:val="14"/>
                <w:b w:val="1"/>
                <w:bCs w:val="1"/>
                <w:color w:val="auto"/>
              </w:rPr>
              <w:t>Nine Months Ended</w:t>
            </w:r>
          </w:p>
        </w:tc>
      </w:tr>
      <w:tr>
        <w:trPr>
          <w:trHeight w:val="147"/>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159"/>
              <w:spacing w:after="0" w:line="147" w:lineRule="exact"/>
              <w:rPr>
                <w:sz w:val="20"/>
                <w:szCs w:val="20"/>
                <w:color w:val="auto"/>
              </w:rPr>
            </w:pPr>
            <w:r>
              <w:rPr>
                <w:rFonts w:ascii="Arial" w:cs="Arial" w:eastAsia="Arial" w:hAnsi="Arial"/>
                <w:sz w:val="14"/>
                <w:szCs w:val="14"/>
                <w:b w:val="1"/>
                <w:bCs w:val="1"/>
                <w:color w:val="auto"/>
              </w:rPr>
              <w:t>September 26,</w:t>
            </w:r>
          </w:p>
        </w:tc>
        <w:tc>
          <w:tcPr>
            <w:tcW w:w="200" w:type="dxa"/>
            <w:vAlign w:val="bottom"/>
          </w:tcPr>
          <w:p>
            <w:pPr>
              <w:spacing w:after="0"/>
              <w:rPr>
                <w:sz w:val="12"/>
                <w:szCs w:val="12"/>
                <w:color w:val="auto"/>
              </w:rPr>
            </w:pPr>
          </w:p>
        </w:tc>
        <w:tc>
          <w:tcPr>
            <w:tcW w:w="1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27,</w:t>
            </w:r>
          </w:p>
        </w:tc>
        <w:tc>
          <w:tcPr>
            <w:tcW w:w="160" w:type="dxa"/>
            <w:vAlign w:val="bottom"/>
          </w:tcPr>
          <w:p>
            <w:pPr>
              <w:spacing w:after="0"/>
              <w:rPr>
                <w:sz w:val="12"/>
                <w:szCs w:val="12"/>
                <w:color w:val="auto"/>
              </w:rPr>
            </w:pPr>
          </w:p>
        </w:tc>
        <w:tc>
          <w:tcPr>
            <w:tcW w:w="1240" w:type="dxa"/>
            <w:vAlign w:val="bottom"/>
          </w:tcPr>
          <w:p>
            <w:pPr>
              <w:jc w:val="right"/>
              <w:ind w:right="139"/>
              <w:spacing w:after="0" w:line="147" w:lineRule="exact"/>
              <w:rPr>
                <w:sz w:val="20"/>
                <w:szCs w:val="20"/>
                <w:color w:val="auto"/>
              </w:rPr>
            </w:pPr>
            <w:r>
              <w:rPr>
                <w:rFonts w:ascii="Arial" w:cs="Arial" w:eastAsia="Arial" w:hAnsi="Arial"/>
                <w:sz w:val="14"/>
                <w:szCs w:val="14"/>
                <w:b w:val="1"/>
                <w:bCs w:val="1"/>
                <w:color w:val="auto"/>
              </w:rPr>
              <w:t>September 26,</w:t>
            </w:r>
          </w:p>
        </w:tc>
        <w:tc>
          <w:tcPr>
            <w:tcW w:w="220" w:type="dxa"/>
            <w:vAlign w:val="bottom"/>
          </w:tcPr>
          <w:p>
            <w:pPr>
              <w:spacing w:after="0"/>
              <w:rPr>
                <w:sz w:val="12"/>
                <w:szCs w:val="12"/>
                <w:color w:val="auto"/>
              </w:rPr>
            </w:pPr>
          </w:p>
        </w:tc>
        <w:tc>
          <w:tcPr>
            <w:tcW w:w="1200" w:type="dxa"/>
            <w:vAlign w:val="bottom"/>
          </w:tcPr>
          <w:p>
            <w:pPr>
              <w:jc w:val="right"/>
              <w:ind w:right="97"/>
              <w:spacing w:after="0" w:line="147" w:lineRule="exact"/>
              <w:rPr>
                <w:sz w:val="20"/>
                <w:szCs w:val="20"/>
                <w:color w:val="auto"/>
              </w:rPr>
            </w:pPr>
            <w:r>
              <w:rPr>
                <w:rFonts w:ascii="Arial" w:cs="Arial" w:eastAsia="Arial" w:hAnsi="Arial"/>
                <w:sz w:val="14"/>
                <w:szCs w:val="14"/>
                <w:b w:val="1"/>
                <w:bCs w:val="1"/>
                <w:color w:val="auto"/>
              </w:rPr>
              <w:t>September 27,</w:t>
            </w:r>
          </w:p>
        </w:tc>
      </w:tr>
      <w:tr>
        <w:trPr>
          <w:trHeight w:val="185"/>
        </w:trPr>
        <w:tc>
          <w:tcPr>
            <w:tcW w:w="5520" w:type="dxa"/>
            <w:vAlign w:val="bottom"/>
            <w:tcBorders>
              <w:bottom w:val="single" w:sz="8" w:color="FF4400"/>
            </w:tcBorders>
          </w:tcPr>
          <w:p>
            <w:pPr>
              <w:spacing w:after="0"/>
              <w:rPr>
                <w:sz w:val="16"/>
                <w:szCs w:val="16"/>
                <w:color w:val="auto"/>
              </w:rPr>
            </w:pPr>
          </w:p>
        </w:tc>
        <w:tc>
          <w:tcPr>
            <w:tcW w:w="140" w:type="dxa"/>
            <w:vAlign w:val="bottom"/>
            <w:tcBorders>
              <w:bottom w:val="single" w:sz="8" w:color="FF4400"/>
            </w:tcBorders>
          </w:tcPr>
          <w:p>
            <w:pPr>
              <w:spacing w:after="0"/>
              <w:rPr>
                <w:sz w:val="16"/>
                <w:szCs w:val="16"/>
                <w:color w:val="auto"/>
              </w:rPr>
            </w:pPr>
          </w:p>
        </w:tc>
        <w:tc>
          <w:tcPr>
            <w:tcW w:w="1260" w:type="dxa"/>
            <w:vAlign w:val="bottom"/>
            <w:tcBorders>
              <w:bottom w:val="single" w:sz="8" w:color="FF4400"/>
            </w:tcBorders>
          </w:tcPr>
          <w:p>
            <w:pPr>
              <w:jc w:val="right"/>
              <w:ind w:right="479"/>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FF4400"/>
            </w:tcBorders>
          </w:tcPr>
          <w:p>
            <w:pPr>
              <w:spacing w:after="0"/>
              <w:rPr>
                <w:sz w:val="16"/>
                <w:szCs w:val="16"/>
                <w:color w:val="auto"/>
              </w:rPr>
            </w:pPr>
          </w:p>
        </w:tc>
        <w:tc>
          <w:tcPr>
            <w:tcW w:w="1200" w:type="dxa"/>
            <w:vAlign w:val="bottom"/>
            <w:tcBorders>
              <w:bottom w:val="single" w:sz="8" w:color="FF4400"/>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FF4400"/>
            </w:tcBorders>
          </w:tcPr>
          <w:p>
            <w:pPr>
              <w:spacing w:after="0"/>
              <w:rPr>
                <w:sz w:val="16"/>
                <w:szCs w:val="16"/>
                <w:color w:val="auto"/>
              </w:rPr>
            </w:pPr>
          </w:p>
        </w:tc>
        <w:tc>
          <w:tcPr>
            <w:tcW w:w="160" w:type="dxa"/>
            <w:vAlign w:val="bottom"/>
            <w:tcBorders>
              <w:bottom w:val="single" w:sz="8" w:color="FF4400"/>
            </w:tcBorders>
          </w:tcPr>
          <w:p>
            <w:pPr>
              <w:spacing w:after="0"/>
              <w:rPr>
                <w:sz w:val="16"/>
                <w:szCs w:val="16"/>
                <w:color w:val="auto"/>
              </w:rPr>
            </w:pPr>
          </w:p>
        </w:tc>
        <w:tc>
          <w:tcPr>
            <w:tcW w:w="1240" w:type="dxa"/>
            <w:vAlign w:val="bottom"/>
            <w:tcBorders>
              <w:bottom w:val="single" w:sz="8" w:color="FF4400"/>
            </w:tcBorders>
          </w:tcPr>
          <w:p>
            <w:pPr>
              <w:jc w:val="right"/>
              <w:ind w:right="479"/>
              <w:spacing w:after="0"/>
              <w:rPr>
                <w:sz w:val="20"/>
                <w:szCs w:val="20"/>
                <w:color w:val="auto"/>
              </w:rPr>
            </w:pPr>
            <w:r>
              <w:rPr>
                <w:rFonts w:ascii="Arial" w:cs="Arial" w:eastAsia="Arial" w:hAnsi="Arial"/>
                <w:sz w:val="14"/>
                <w:szCs w:val="14"/>
                <w:b w:val="1"/>
                <w:bCs w:val="1"/>
                <w:color w:val="auto"/>
              </w:rPr>
              <w:t>2026</w:t>
            </w:r>
          </w:p>
        </w:tc>
        <w:tc>
          <w:tcPr>
            <w:tcW w:w="220" w:type="dxa"/>
            <w:vAlign w:val="bottom"/>
            <w:tcBorders>
              <w:bottom w:val="single" w:sz="8" w:color="FF4400"/>
            </w:tcBorders>
          </w:tcPr>
          <w:p>
            <w:pPr>
              <w:spacing w:after="0"/>
              <w:rPr>
                <w:sz w:val="16"/>
                <w:szCs w:val="16"/>
                <w:color w:val="auto"/>
              </w:rPr>
            </w:pPr>
          </w:p>
        </w:tc>
        <w:tc>
          <w:tcPr>
            <w:tcW w:w="1200" w:type="dxa"/>
            <w:vAlign w:val="bottom"/>
            <w:tcBorders>
              <w:bottom w:val="single" w:sz="8" w:color="FF4400"/>
            </w:tcBorders>
          </w:tcPr>
          <w:p>
            <w:pPr>
              <w:jc w:val="right"/>
              <w:ind w:right="437"/>
              <w:spacing w:after="0"/>
              <w:rPr>
                <w:sz w:val="20"/>
                <w:szCs w:val="20"/>
                <w:color w:val="auto"/>
              </w:rPr>
            </w:pPr>
            <w:r>
              <w:rPr>
                <w:rFonts w:ascii="Arial" w:cs="Arial" w:eastAsia="Arial" w:hAnsi="Arial"/>
                <w:sz w:val="14"/>
                <w:szCs w:val="14"/>
                <w:b w:val="1"/>
                <w:bCs w:val="1"/>
                <w:color w:val="auto"/>
              </w:rPr>
              <w:t>2025</w:t>
            </w:r>
          </w:p>
        </w:tc>
      </w:tr>
      <w:tr>
        <w:trPr>
          <w:trHeight w:val="223"/>
        </w:trPr>
        <w:tc>
          <w:tcPr>
            <w:tcW w:w="55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BFBFBF"/>
            </w:tcBorders>
          </w:tcPr>
          <w:p>
            <w:pPr>
              <w:jc w:val="right"/>
              <w:ind w:right="219"/>
              <w:spacing w:after="0"/>
              <w:rPr>
                <w:sz w:val="20"/>
                <w:szCs w:val="20"/>
                <w:color w:val="auto"/>
              </w:rPr>
            </w:pPr>
            <w:r>
              <w:rPr>
                <w:rFonts w:ascii="Arial" w:cs="Arial" w:eastAsia="Arial" w:hAnsi="Arial"/>
                <w:sz w:val="18"/>
                <w:szCs w:val="18"/>
                <w:color w:val="auto"/>
              </w:rPr>
              <w:t>1,515</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ind w:right="157"/>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BFBF"/>
            </w:tcBorders>
          </w:tcPr>
          <w:p>
            <w:pPr>
              <w:jc w:val="right"/>
              <w:ind w:right="199"/>
              <w:spacing w:after="0"/>
              <w:rPr>
                <w:sz w:val="20"/>
                <w:szCs w:val="20"/>
                <w:color w:val="auto"/>
              </w:rPr>
            </w:pPr>
            <w:r>
              <w:rPr>
                <w:rFonts w:ascii="Arial" w:cs="Arial" w:eastAsia="Arial" w:hAnsi="Arial"/>
                <w:sz w:val="18"/>
                <w:szCs w:val="18"/>
                <w:color w:val="auto"/>
              </w:rPr>
              <w:t>4,341</w:t>
            </w:r>
          </w:p>
        </w:tc>
        <w:tc>
          <w:tcPr>
            <w:tcW w:w="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ind w:right="157"/>
              <w:spacing w:after="0"/>
              <w:rPr>
                <w:sz w:val="20"/>
                <w:szCs w:val="20"/>
                <w:color w:val="auto"/>
              </w:rPr>
            </w:pPr>
            <w:r>
              <w:rPr>
                <w:rFonts w:ascii="Arial" w:cs="Arial" w:eastAsia="Arial" w:hAnsi="Arial"/>
                <w:sz w:val="18"/>
                <w:szCs w:val="18"/>
                <w:color w:val="auto"/>
              </w:rPr>
              <w:t>4,142</w:t>
            </w:r>
          </w:p>
        </w:tc>
      </w:tr>
      <w:tr>
        <w:trPr>
          <w:trHeight w:val="223"/>
        </w:trPr>
        <w:tc>
          <w:tcPr>
            <w:tcW w:w="55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Segment profit/Segment adjusted EBIT</w:t>
            </w:r>
            <w:r>
              <w:rPr>
                <w:rFonts w:ascii="Arial" w:cs="Arial" w:eastAsia="Arial" w:hAnsi="Arial"/>
                <w:sz w:val="23"/>
                <w:szCs w:val="23"/>
                <w:color w:val="auto"/>
                <w:vertAlign w:val="superscript"/>
              </w:rPr>
              <w:t>(1)</w:t>
            </w:r>
          </w:p>
        </w:tc>
        <w:tc>
          <w:tcPr>
            <w:tcW w:w="140" w:type="dxa"/>
            <w:vAlign w:val="bottom"/>
            <w:tcBorders>
              <w:bottom w:val="single" w:sz="8" w:color="BFBFBF"/>
            </w:tcBorders>
          </w:tcPr>
          <w:p>
            <w:pPr>
              <w:spacing w:after="0"/>
              <w:rPr>
                <w:sz w:val="19"/>
                <w:szCs w:val="19"/>
                <w:color w:val="auto"/>
              </w:rPr>
            </w:pPr>
          </w:p>
        </w:tc>
        <w:tc>
          <w:tcPr>
            <w:tcW w:w="1260" w:type="dxa"/>
            <w:vAlign w:val="bottom"/>
            <w:tcBorders>
              <w:bottom w:val="single" w:sz="8" w:color="BFBFBF"/>
            </w:tcBorders>
          </w:tcPr>
          <w:p>
            <w:pPr>
              <w:jc w:val="right"/>
              <w:ind w:right="219"/>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ind w:right="157"/>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240" w:type="dxa"/>
            <w:vAlign w:val="bottom"/>
            <w:tcBorders>
              <w:bottom w:val="single" w:sz="8" w:color="BFBFBF"/>
            </w:tcBorders>
          </w:tcPr>
          <w:p>
            <w:pPr>
              <w:jc w:val="right"/>
              <w:ind w:right="199"/>
              <w:spacing w:after="0"/>
              <w:rPr>
                <w:sz w:val="20"/>
                <w:szCs w:val="20"/>
                <w:color w:val="auto"/>
              </w:rPr>
            </w:pPr>
            <w:r>
              <w:rPr>
                <w:rFonts w:ascii="Arial" w:cs="Arial" w:eastAsia="Arial" w:hAnsi="Arial"/>
                <w:sz w:val="18"/>
                <w:szCs w:val="18"/>
                <w:color w:val="auto"/>
              </w:rPr>
              <w:t>705</w:t>
            </w:r>
          </w:p>
        </w:tc>
        <w:tc>
          <w:tcPr>
            <w:tcW w:w="2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ind w:right="157"/>
              <w:spacing w:after="0"/>
              <w:rPr>
                <w:sz w:val="20"/>
                <w:szCs w:val="20"/>
                <w:color w:val="auto"/>
              </w:rPr>
            </w:pPr>
            <w:r>
              <w:rPr>
                <w:rFonts w:ascii="Arial" w:cs="Arial" w:eastAsia="Arial" w:hAnsi="Arial"/>
                <w:sz w:val="18"/>
                <w:szCs w:val="18"/>
                <w:color w:val="auto"/>
              </w:rPr>
              <w:t>748</w:t>
            </w:r>
          </w:p>
        </w:tc>
      </w:tr>
      <w:tr>
        <w:trPr>
          <w:trHeight w:val="223"/>
        </w:trPr>
        <w:tc>
          <w:tcPr>
            <w:tcW w:w="55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Segment profit margin/Segment adjusted EBIT margin</w:t>
            </w:r>
            <w:r>
              <w:rPr>
                <w:rFonts w:ascii="Arial" w:cs="Arial" w:eastAsia="Arial" w:hAnsi="Arial"/>
                <w:sz w:val="23"/>
                <w:szCs w:val="23"/>
                <w:color w:val="auto"/>
                <w:vertAlign w:val="superscript"/>
              </w:rPr>
              <w:t>(1)</w:t>
            </w:r>
          </w:p>
        </w:tc>
        <w:tc>
          <w:tcPr>
            <w:tcW w:w="140" w:type="dxa"/>
            <w:vAlign w:val="bottom"/>
            <w:tcBorders>
              <w:bottom w:val="single" w:sz="8" w:color="BFBFBF"/>
            </w:tcBorders>
          </w:tcPr>
          <w:p>
            <w:pPr>
              <w:spacing w:after="0"/>
              <w:rPr>
                <w:sz w:val="19"/>
                <w:szCs w:val="19"/>
                <w:color w:val="auto"/>
              </w:rPr>
            </w:pPr>
          </w:p>
        </w:tc>
        <w:tc>
          <w:tcPr>
            <w:tcW w:w="12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17 %</w:t>
            </w:r>
          </w:p>
        </w:tc>
        <w:tc>
          <w:tcPr>
            <w:tcW w:w="20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16 %</w:t>
            </w:r>
          </w:p>
        </w:tc>
        <w:tc>
          <w:tcPr>
            <w:tcW w:w="2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5" w:lineRule="exact"/>
        <w:rPr>
          <w:sz w:val="20"/>
          <w:szCs w:val="20"/>
          <w:color w:val="auto"/>
        </w:rPr>
      </w:pPr>
    </w:p>
    <w:p>
      <w:pPr>
        <w:ind w:left="340" w:hanging="332"/>
        <w:spacing w:after="0" w:line="284" w:lineRule="auto"/>
        <w:tabs>
          <w:tab w:leader="none" w:pos="354"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Operations—Non-GAAP Financial Measures” for the definition of Segment adjusted EBIT and Segment adjusted EBIT margin.</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sets forth the factors contributing to year-over-year changes in our E&amp;PS segment’s Net sales for the three and nine months ended September 26, 2026: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3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Q3 2026 vs. Q3 2025</w:t>
            </w:r>
          </w:p>
        </w:tc>
        <w:tc>
          <w:tcPr>
            <w:tcW w:w="1960" w:type="dxa"/>
            <w:vAlign w:val="bottom"/>
          </w:tcPr>
          <w:p>
            <w:pPr>
              <w:jc w:val="right"/>
              <w:ind w:right="75"/>
              <w:spacing w:after="0"/>
              <w:rPr>
                <w:sz w:val="20"/>
                <w:szCs w:val="20"/>
                <w:color w:val="auto"/>
              </w:rPr>
            </w:pPr>
            <w:r>
              <w:rPr>
                <w:rFonts w:ascii="Arial" w:cs="Arial" w:eastAsia="Arial" w:hAnsi="Arial"/>
                <w:sz w:val="14"/>
                <w:szCs w:val="14"/>
                <w:b w:val="1"/>
                <w:bCs w:val="1"/>
                <w:color w:val="auto"/>
              </w:rPr>
              <w:t>YTD Q3 2026 vs. YTD Q3</w:t>
            </w:r>
          </w:p>
        </w:tc>
        <w:tc>
          <w:tcPr>
            <w:tcW w:w="0" w:type="dxa"/>
            <w:vAlign w:val="bottom"/>
          </w:tcPr>
          <w:p>
            <w:pPr>
              <w:spacing w:after="0"/>
              <w:rPr>
                <w:sz w:val="1"/>
                <w:szCs w:val="1"/>
                <w:color w:val="auto"/>
              </w:rPr>
            </w:pPr>
          </w:p>
        </w:tc>
      </w:tr>
      <w:tr>
        <w:trPr>
          <w:trHeight w:val="185"/>
        </w:trPr>
        <w:tc>
          <w:tcPr>
            <w:tcW w:w="4920" w:type="dxa"/>
            <w:vAlign w:val="bottom"/>
            <w:tcBorders>
              <w:bottom w:val="single" w:sz="8" w:color="FF4400"/>
            </w:tcBorders>
          </w:tcPr>
          <w:p>
            <w:pPr>
              <w:spacing w:after="0"/>
              <w:rPr>
                <w:sz w:val="16"/>
                <w:szCs w:val="16"/>
                <w:color w:val="auto"/>
              </w:rPr>
            </w:pPr>
          </w:p>
        </w:tc>
        <w:tc>
          <w:tcPr>
            <w:tcW w:w="4360" w:type="dxa"/>
            <w:vAlign w:val="bottom"/>
            <w:tcBorders>
              <w:bottom w:val="single" w:sz="8" w:color="FF4400"/>
            </w:tcBorders>
            <w:vMerge w:val="continue"/>
          </w:tcPr>
          <w:p>
            <w:pPr>
              <w:spacing w:after="0"/>
              <w:rPr>
                <w:sz w:val="16"/>
                <w:szCs w:val="16"/>
                <w:color w:val="auto"/>
              </w:rPr>
            </w:pPr>
          </w:p>
        </w:tc>
        <w:tc>
          <w:tcPr>
            <w:tcW w:w="1960" w:type="dxa"/>
            <w:vAlign w:val="bottom"/>
            <w:tcBorders>
              <w:bottom w:val="single" w:sz="8" w:color="FF4400"/>
            </w:tcBorders>
          </w:tcPr>
          <w:p>
            <w:pPr>
              <w:jc w:val="right"/>
              <w:ind w:right="75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436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2 %</w:t>
            </w:r>
          </w:p>
        </w:tc>
        <w:tc>
          <w:tcPr>
            <w:tcW w:w="19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436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1 %</w:t>
            </w:r>
          </w:p>
        </w:tc>
        <w:tc>
          <w:tcPr>
            <w:tcW w:w="19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Acquisitions</w:t>
            </w:r>
          </w:p>
        </w:tc>
        <w:tc>
          <w:tcPr>
            <w:tcW w:w="436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 %</w:t>
            </w:r>
          </w:p>
        </w:tc>
        <w:tc>
          <w:tcPr>
            <w:tcW w:w="19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w:t>
            </w:r>
          </w:p>
        </w:tc>
        <w:tc>
          <w:tcPr>
            <w:tcW w:w="4360" w:type="dxa"/>
            <w:vAlign w:val="bottom"/>
            <w:tcBorders>
              <w:bottom w:val="single" w:sz="8" w:color="384348"/>
            </w:tcBorders>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tcBorders>
              <w:bottom w:val="single" w:sz="8" w:color="384348"/>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Total % change in Net sales</w:t>
            </w:r>
          </w:p>
        </w:tc>
        <w:tc>
          <w:tcPr>
            <w:tcW w:w="4360" w:type="dxa"/>
            <w:vAlign w:val="bottom"/>
            <w:tcBorders>
              <w:bottom w:val="single" w:sz="8" w:color="384348"/>
            </w:tcBorders>
          </w:tcPr>
          <w:p>
            <w:pPr>
              <w:jc w:val="right"/>
              <w:ind w:right="53"/>
              <w:spacing w:after="0"/>
              <w:rPr>
                <w:sz w:val="20"/>
                <w:szCs w:val="20"/>
                <w:color w:val="auto"/>
              </w:rPr>
            </w:pPr>
            <w:r>
              <w:rPr>
                <w:rFonts w:ascii="Arial" w:cs="Arial" w:eastAsia="Arial" w:hAnsi="Arial"/>
                <w:sz w:val="18"/>
                <w:szCs w:val="18"/>
                <w:b w:val="1"/>
                <w:bCs w:val="1"/>
                <w:color w:val="auto"/>
              </w:rPr>
              <w:t>3 %</w:t>
            </w:r>
          </w:p>
        </w:tc>
        <w:tc>
          <w:tcPr>
            <w:tcW w:w="19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68"/>
        </w:trPr>
        <w:tc>
          <w:tcPr>
            <w:tcW w:w="4920" w:type="dxa"/>
            <w:vAlign w:val="bottom"/>
          </w:tcPr>
          <w:p>
            <w:pPr>
              <w:spacing w:after="0"/>
              <w:rPr>
                <w:sz w:val="20"/>
                <w:szCs w:val="20"/>
                <w:color w:val="auto"/>
              </w:rPr>
            </w:pPr>
            <w:r>
              <w:rPr>
                <w:rFonts w:ascii="Arial" w:cs="Arial" w:eastAsia="Arial" w:hAnsi="Arial"/>
                <w:sz w:val="14"/>
                <w:szCs w:val="14"/>
                <w:color w:val="auto"/>
              </w:rPr>
              <w:t>__________________</w:t>
            </w:r>
          </w:p>
        </w:tc>
        <w:tc>
          <w:tcPr>
            <w:tcW w:w="43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Operations—Non-GAAP Financial Measures” for the definition of Organic sales growth.</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26, 2026 compared with the three months ended September 27, 2025</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E&amp;PS Net sales increased $37 million primarily due to higher organic sales of $74 million in Commercial Aftermarket, partially offset by lower organic sales of $30 million in Defense and Space.</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Segment profit and Segment adjusted EBIT decreased by $49 million or 16% and Segment profit margin and Segment adjusted EBIT margin decreased 3% for the three months ended September 26, 2026.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26, 2026 compared with the nine months ended September 27, 2025</w:t>
      </w:r>
    </w:p>
    <w:p>
      <w:pPr>
        <w:spacing w:after="0" w:line="16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E&amp;PS Net sales increased $199 million primarily due to higher organic sales of $231 million in Commercial Aftermarket, partially offset by lower organic sales of $43 million in Defense and Space.</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Segment profit and Segment adjusted EBIT decreased by $43 million or 6% and Segment profit margin and Segment adjusted EBIT margin decreased 2% for the nine months ended September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Systems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operating results for our CS segment for the three and nine months ended September 26, 2026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20" w:type="dxa"/>
            <w:vAlign w:val="bottom"/>
          </w:tcPr>
          <w:p>
            <w:pPr>
              <w:spacing w:after="0"/>
              <w:rPr>
                <w:sz w:val="17"/>
                <w:szCs w:val="17"/>
                <w:color w:val="auto"/>
              </w:rPr>
            </w:pPr>
          </w:p>
        </w:tc>
        <w:tc>
          <w:tcPr>
            <w:tcW w:w="140" w:type="dxa"/>
            <w:vAlign w:val="bottom"/>
            <w:tcBorders>
              <w:bottom w:val="single" w:sz="8" w:color="FF4400"/>
            </w:tcBorders>
          </w:tcPr>
          <w:p>
            <w:pPr>
              <w:spacing w:after="0"/>
              <w:rPr>
                <w:sz w:val="17"/>
                <w:szCs w:val="17"/>
                <w:color w:val="auto"/>
              </w:rPr>
            </w:pPr>
          </w:p>
        </w:tc>
        <w:tc>
          <w:tcPr>
            <w:tcW w:w="2660" w:type="dxa"/>
            <w:vAlign w:val="bottom"/>
            <w:tcBorders>
              <w:bottom w:val="single" w:sz="8" w:color="FF4400"/>
            </w:tcBorders>
            <w:gridSpan w:val="3"/>
          </w:tcPr>
          <w:p>
            <w:pPr>
              <w:jc w:val="right"/>
              <w:ind w:right="63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60" w:type="dxa"/>
            <w:vAlign w:val="bottom"/>
            <w:tcBorders>
              <w:bottom w:val="single" w:sz="8" w:color="FF4400"/>
            </w:tcBorders>
          </w:tcPr>
          <w:p>
            <w:pPr>
              <w:spacing w:after="0"/>
              <w:rPr>
                <w:sz w:val="17"/>
                <w:szCs w:val="17"/>
                <w:color w:val="auto"/>
              </w:rPr>
            </w:pPr>
          </w:p>
        </w:tc>
        <w:tc>
          <w:tcPr>
            <w:tcW w:w="2660" w:type="dxa"/>
            <w:vAlign w:val="bottom"/>
            <w:tcBorders>
              <w:bottom w:val="single" w:sz="8" w:color="FF4400"/>
            </w:tcBorders>
            <w:gridSpan w:val="3"/>
          </w:tcPr>
          <w:p>
            <w:pPr>
              <w:jc w:val="right"/>
              <w:ind w:right="677"/>
              <w:spacing w:after="0"/>
              <w:rPr>
                <w:sz w:val="20"/>
                <w:szCs w:val="20"/>
                <w:color w:val="auto"/>
              </w:rPr>
            </w:pPr>
            <w:r>
              <w:rPr>
                <w:rFonts w:ascii="Arial" w:cs="Arial" w:eastAsia="Arial" w:hAnsi="Arial"/>
                <w:sz w:val="14"/>
                <w:szCs w:val="14"/>
                <w:b w:val="1"/>
                <w:bCs w:val="1"/>
                <w:color w:val="auto"/>
              </w:rPr>
              <w:t>Nine Months Ended</w:t>
            </w:r>
          </w:p>
        </w:tc>
      </w:tr>
      <w:tr>
        <w:trPr>
          <w:trHeight w:val="147"/>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159"/>
              <w:spacing w:after="0" w:line="147" w:lineRule="exact"/>
              <w:rPr>
                <w:sz w:val="20"/>
                <w:szCs w:val="20"/>
                <w:color w:val="auto"/>
              </w:rPr>
            </w:pPr>
            <w:r>
              <w:rPr>
                <w:rFonts w:ascii="Arial" w:cs="Arial" w:eastAsia="Arial" w:hAnsi="Arial"/>
                <w:sz w:val="14"/>
                <w:szCs w:val="14"/>
                <w:b w:val="1"/>
                <w:bCs w:val="1"/>
                <w:color w:val="auto"/>
              </w:rPr>
              <w:t>September 26,</w:t>
            </w:r>
          </w:p>
        </w:tc>
        <w:tc>
          <w:tcPr>
            <w:tcW w:w="200" w:type="dxa"/>
            <w:vAlign w:val="bottom"/>
          </w:tcPr>
          <w:p>
            <w:pPr>
              <w:spacing w:after="0"/>
              <w:rPr>
                <w:sz w:val="12"/>
                <w:szCs w:val="12"/>
                <w:color w:val="auto"/>
              </w:rPr>
            </w:pPr>
          </w:p>
        </w:tc>
        <w:tc>
          <w:tcPr>
            <w:tcW w:w="1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27,</w:t>
            </w:r>
          </w:p>
        </w:tc>
        <w:tc>
          <w:tcPr>
            <w:tcW w:w="160" w:type="dxa"/>
            <w:vAlign w:val="bottom"/>
          </w:tcPr>
          <w:p>
            <w:pPr>
              <w:spacing w:after="0"/>
              <w:rPr>
                <w:sz w:val="12"/>
                <w:szCs w:val="12"/>
                <w:color w:val="auto"/>
              </w:rPr>
            </w:pPr>
          </w:p>
        </w:tc>
        <w:tc>
          <w:tcPr>
            <w:tcW w:w="1240" w:type="dxa"/>
            <w:vAlign w:val="bottom"/>
          </w:tcPr>
          <w:p>
            <w:pPr>
              <w:jc w:val="right"/>
              <w:ind w:right="139"/>
              <w:spacing w:after="0" w:line="147" w:lineRule="exact"/>
              <w:rPr>
                <w:sz w:val="20"/>
                <w:szCs w:val="20"/>
                <w:color w:val="auto"/>
              </w:rPr>
            </w:pPr>
            <w:r>
              <w:rPr>
                <w:rFonts w:ascii="Arial" w:cs="Arial" w:eastAsia="Arial" w:hAnsi="Arial"/>
                <w:sz w:val="14"/>
                <w:szCs w:val="14"/>
                <w:b w:val="1"/>
                <w:bCs w:val="1"/>
                <w:color w:val="auto"/>
              </w:rPr>
              <w:t>September 26,</w:t>
            </w:r>
          </w:p>
        </w:tc>
        <w:tc>
          <w:tcPr>
            <w:tcW w:w="220" w:type="dxa"/>
            <w:vAlign w:val="bottom"/>
          </w:tcPr>
          <w:p>
            <w:pPr>
              <w:spacing w:after="0"/>
              <w:rPr>
                <w:sz w:val="12"/>
                <w:szCs w:val="12"/>
                <w:color w:val="auto"/>
              </w:rPr>
            </w:pPr>
          </w:p>
        </w:tc>
        <w:tc>
          <w:tcPr>
            <w:tcW w:w="1200" w:type="dxa"/>
            <w:vAlign w:val="bottom"/>
          </w:tcPr>
          <w:p>
            <w:pPr>
              <w:jc w:val="right"/>
              <w:ind w:right="97"/>
              <w:spacing w:after="0" w:line="147" w:lineRule="exact"/>
              <w:rPr>
                <w:sz w:val="20"/>
                <w:szCs w:val="20"/>
                <w:color w:val="auto"/>
              </w:rPr>
            </w:pPr>
            <w:r>
              <w:rPr>
                <w:rFonts w:ascii="Arial" w:cs="Arial" w:eastAsia="Arial" w:hAnsi="Arial"/>
                <w:sz w:val="14"/>
                <w:szCs w:val="14"/>
                <w:b w:val="1"/>
                <w:bCs w:val="1"/>
                <w:color w:val="auto"/>
              </w:rPr>
              <w:t>September 27,</w:t>
            </w:r>
          </w:p>
        </w:tc>
      </w:tr>
      <w:tr>
        <w:trPr>
          <w:trHeight w:val="185"/>
        </w:trPr>
        <w:tc>
          <w:tcPr>
            <w:tcW w:w="5520" w:type="dxa"/>
            <w:vAlign w:val="bottom"/>
            <w:tcBorders>
              <w:bottom w:val="single" w:sz="8" w:color="FF4400"/>
            </w:tcBorders>
          </w:tcPr>
          <w:p>
            <w:pPr>
              <w:spacing w:after="0"/>
              <w:rPr>
                <w:sz w:val="16"/>
                <w:szCs w:val="16"/>
                <w:color w:val="auto"/>
              </w:rPr>
            </w:pPr>
          </w:p>
        </w:tc>
        <w:tc>
          <w:tcPr>
            <w:tcW w:w="140" w:type="dxa"/>
            <w:vAlign w:val="bottom"/>
            <w:tcBorders>
              <w:bottom w:val="single" w:sz="8" w:color="FF4400"/>
            </w:tcBorders>
          </w:tcPr>
          <w:p>
            <w:pPr>
              <w:spacing w:after="0"/>
              <w:rPr>
                <w:sz w:val="16"/>
                <w:szCs w:val="16"/>
                <w:color w:val="auto"/>
              </w:rPr>
            </w:pPr>
          </w:p>
        </w:tc>
        <w:tc>
          <w:tcPr>
            <w:tcW w:w="1260" w:type="dxa"/>
            <w:vAlign w:val="bottom"/>
            <w:tcBorders>
              <w:bottom w:val="single" w:sz="8" w:color="FF4400"/>
            </w:tcBorders>
          </w:tcPr>
          <w:p>
            <w:pPr>
              <w:jc w:val="right"/>
              <w:ind w:right="479"/>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FF4400"/>
            </w:tcBorders>
          </w:tcPr>
          <w:p>
            <w:pPr>
              <w:spacing w:after="0"/>
              <w:rPr>
                <w:sz w:val="16"/>
                <w:szCs w:val="16"/>
                <w:color w:val="auto"/>
              </w:rPr>
            </w:pPr>
          </w:p>
        </w:tc>
        <w:tc>
          <w:tcPr>
            <w:tcW w:w="1200" w:type="dxa"/>
            <w:vAlign w:val="bottom"/>
            <w:tcBorders>
              <w:bottom w:val="single" w:sz="8" w:color="FF4400"/>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FF4400"/>
            </w:tcBorders>
          </w:tcPr>
          <w:p>
            <w:pPr>
              <w:spacing w:after="0"/>
              <w:rPr>
                <w:sz w:val="16"/>
                <w:szCs w:val="16"/>
                <w:color w:val="auto"/>
              </w:rPr>
            </w:pPr>
          </w:p>
        </w:tc>
        <w:tc>
          <w:tcPr>
            <w:tcW w:w="160" w:type="dxa"/>
            <w:vAlign w:val="bottom"/>
            <w:tcBorders>
              <w:bottom w:val="single" w:sz="8" w:color="FF4400"/>
            </w:tcBorders>
          </w:tcPr>
          <w:p>
            <w:pPr>
              <w:spacing w:after="0"/>
              <w:rPr>
                <w:sz w:val="16"/>
                <w:szCs w:val="16"/>
                <w:color w:val="auto"/>
              </w:rPr>
            </w:pPr>
          </w:p>
        </w:tc>
        <w:tc>
          <w:tcPr>
            <w:tcW w:w="1240" w:type="dxa"/>
            <w:vAlign w:val="bottom"/>
            <w:tcBorders>
              <w:bottom w:val="single" w:sz="8" w:color="FF4400"/>
            </w:tcBorders>
          </w:tcPr>
          <w:p>
            <w:pPr>
              <w:jc w:val="right"/>
              <w:ind w:right="479"/>
              <w:spacing w:after="0"/>
              <w:rPr>
                <w:sz w:val="20"/>
                <w:szCs w:val="20"/>
                <w:color w:val="auto"/>
              </w:rPr>
            </w:pPr>
            <w:r>
              <w:rPr>
                <w:rFonts w:ascii="Arial" w:cs="Arial" w:eastAsia="Arial" w:hAnsi="Arial"/>
                <w:sz w:val="14"/>
                <w:szCs w:val="14"/>
                <w:b w:val="1"/>
                <w:bCs w:val="1"/>
                <w:color w:val="auto"/>
              </w:rPr>
              <w:t>2026</w:t>
            </w:r>
          </w:p>
        </w:tc>
        <w:tc>
          <w:tcPr>
            <w:tcW w:w="220" w:type="dxa"/>
            <w:vAlign w:val="bottom"/>
            <w:tcBorders>
              <w:bottom w:val="single" w:sz="8" w:color="FF4400"/>
            </w:tcBorders>
          </w:tcPr>
          <w:p>
            <w:pPr>
              <w:spacing w:after="0"/>
              <w:rPr>
                <w:sz w:val="16"/>
                <w:szCs w:val="16"/>
                <w:color w:val="auto"/>
              </w:rPr>
            </w:pPr>
          </w:p>
        </w:tc>
        <w:tc>
          <w:tcPr>
            <w:tcW w:w="1200" w:type="dxa"/>
            <w:vAlign w:val="bottom"/>
            <w:tcBorders>
              <w:bottom w:val="single" w:sz="8" w:color="FF4400"/>
            </w:tcBorders>
          </w:tcPr>
          <w:p>
            <w:pPr>
              <w:jc w:val="right"/>
              <w:ind w:right="437"/>
              <w:spacing w:after="0"/>
              <w:rPr>
                <w:sz w:val="20"/>
                <w:szCs w:val="20"/>
                <w:color w:val="auto"/>
              </w:rPr>
            </w:pPr>
            <w:r>
              <w:rPr>
                <w:rFonts w:ascii="Arial" w:cs="Arial" w:eastAsia="Arial" w:hAnsi="Arial"/>
                <w:sz w:val="14"/>
                <w:szCs w:val="14"/>
                <w:b w:val="1"/>
                <w:bCs w:val="1"/>
                <w:color w:val="auto"/>
              </w:rPr>
              <w:t>2025</w:t>
            </w:r>
          </w:p>
        </w:tc>
      </w:tr>
      <w:tr>
        <w:trPr>
          <w:trHeight w:val="223"/>
        </w:trPr>
        <w:tc>
          <w:tcPr>
            <w:tcW w:w="55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BFBFBF"/>
            </w:tcBorders>
          </w:tcPr>
          <w:p>
            <w:pPr>
              <w:jc w:val="right"/>
              <w:ind w:right="219"/>
              <w:spacing w:after="0"/>
              <w:rPr>
                <w:sz w:val="20"/>
                <w:szCs w:val="20"/>
                <w:color w:val="auto"/>
              </w:rPr>
            </w:pPr>
            <w:r>
              <w:rPr>
                <w:rFonts w:ascii="Arial" w:cs="Arial" w:eastAsia="Arial" w:hAnsi="Arial"/>
                <w:sz w:val="18"/>
                <w:szCs w:val="18"/>
                <w:color w:val="auto"/>
              </w:rPr>
              <w:t>1,345</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ind w:right="157"/>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BFBF"/>
            </w:tcBorders>
          </w:tcPr>
          <w:p>
            <w:pPr>
              <w:jc w:val="right"/>
              <w:ind w:right="199"/>
              <w:spacing w:after="0"/>
              <w:rPr>
                <w:sz w:val="20"/>
                <w:szCs w:val="20"/>
                <w:color w:val="auto"/>
              </w:rPr>
            </w:pPr>
            <w:r>
              <w:rPr>
                <w:rFonts w:ascii="Arial" w:cs="Arial" w:eastAsia="Arial" w:hAnsi="Arial"/>
                <w:sz w:val="18"/>
                <w:szCs w:val="18"/>
                <w:color w:val="auto"/>
              </w:rPr>
              <w:t>3,878</w:t>
            </w:r>
          </w:p>
        </w:tc>
        <w:tc>
          <w:tcPr>
            <w:tcW w:w="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ind w:right="157"/>
              <w:spacing w:after="0"/>
              <w:rPr>
                <w:sz w:val="20"/>
                <w:szCs w:val="20"/>
                <w:color w:val="auto"/>
              </w:rPr>
            </w:pPr>
            <w:r>
              <w:rPr>
                <w:rFonts w:ascii="Arial" w:cs="Arial" w:eastAsia="Arial" w:hAnsi="Arial"/>
                <w:sz w:val="18"/>
                <w:szCs w:val="18"/>
                <w:color w:val="auto"/>
              </w:rPr>
              <w:t>3,851</w:t>
            </w:r>
          </w:p>
        </w:tc>
      </w:tr>
      <w:tr>
        <w:trPr>
          <w:trHeight w:val="223"/>
        </w:trPr>
        <w:tc>
          <w:tcPr>
            <w:tcW w:w="55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Segment Profit/Segment adjusted EBIT</w:t>
            </w:r>
            <w:r>
              <w:rPr>
                <w:rFonts w:ascii="Arial" w:cs="Arial" w:eastAsia="Arial" w:hAnsi="Arial"/>
                <w:sz w:val="23"/>
                <w:szCs w:val="23"/>
                <w:color w:val="auto"/>
                <w:vertAlign w:val="superscript"/>
              </w:rPr>
              <w:t>(1)</w:t>
            </w:r>
          </w:p>
        </w:tc>
        <w:tc>
          <w:tcPr>
            <w:tcW w:w="140" w:type="dxa"/>
            <w:vAlign w:val="bottom"/>
            <w:tcBorders>
              <w:bottom w:val="single" w:sz="8" w:color="BFBFBF"/>
            </w:tcBorders>
          </w:tcPr>
          <w:p>
            <w:pPr>
              <w:spacing w:after="0"/>
              <w:rPr>
                <w:sz w:val="19"/>
                <w:szCs w:val="19"/>
                <w:color w:val="auto"/>
              </w:rPr>
            </w:pPr>
          </w:p>
        </w:tc>
        <w:tc>
          <w:tcPr>
            <w:tcW w:w="1260" w:type="dxa"/>
            <w:vAlign w:val="bottom"/>
            <w:tcBorders>
              <w:bottom w:val="single" w:sz="8" w:color="BFBFBF"/>
            </w:tcBorders>
          </w:tcPr>
          <w:p>
            <w:pPr>
              <w:jc w:val="right"/>
              <w:ind w:right="219"/>
              <w:spacing w:after="0"/>
              <w:rPr>
                <w:sz w:val="20"/>
                <w:szCs w:val="20"/>
                <w:color w:val="auto"/>
              </w:rPr>
            </w:pPr>
            <w:r>
              <w:rPr>
                <w:rFonts w:ascii="Arial" w:cs="Arial" w:eastAsia="Arial" w:hAnsi="Arial"/>
                <w:sz w:val="18"/>
                <w:szCs w:val="18"/>
                <w:color w:val="auto"/>
              </w:rPr>
              <w:t>382</w:t>
            </w:r>
          </w:p>
        </w:tc>
        <w:tc>
          <w:tcPr>
            <w:tcW w:w="20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ind w:right="157"/>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240" w:type="dxa"/>
            <w:vAlign w:val="bottom"/>
            <w:tcBorders>
              <w:bottom w:val="single" w:sz="8" w:color="BFBFBF"/>
            </w:tcBorders>
          </w:tcPr>
          <w:p>
            <w:pPr>
              <w:jc w:val="right"/>
              <w:ind w:right="199"/>
              <w:spacing w:after="0"/>
              <w:rPr>
                <w:sz w:val="20"/>
                <w:szCs w:val="20"/>
                <w:color w:val="auto"/>
              </w:rPr>
            </w:pPr>
            <w:r>
              <w:rPr>
                <w:rFonts w:ascii="Arial" w:cs="Arial" w:eastAsia="Arial" w:hAnsi="Arial"/>
                <w:sz w:val="18"/>
                <w:szCs w:val="18"/>
                <w:color w:val="auto"/>
              </w:rPr>
              <w:t>1,098</w:t>
            </w:r>
          </w:p>
        </w:tc>
        <w:tc>
          <w:tcPr>
            <w:tcW w:w="2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ind w:right="157"/>
              <w:spacing w:after="0"/>
              <w:rPr>
                <w:sz w:val="20"/>
                <w:szCs w:val="20"/>
                <w:color w:val="auto"/>
              </w:rPr>
            </w:pPr>
            <w:r>
              <w:rPr>
                <w:rFonts w:ascii="Arial" w:cs="Arial" w:eastAsia="Arial" w:hAnsi="Arial"/>
                <w:sz w:val="18"/>
                <w:szCs w:val="18"/>
                <w:color w:val="auto"/>
              </w:rPr>
              <w:t>1,184</w:t>
            </w:r>
          </w:p>
        </w:tc>
      </w:tr>
      <w:tr>
        <w:trPr>
          <w:trHeight w:val="223"/>
        </w:trPr>
        <w:tc>
          <w:tcPr>
            <w:tcW w:w="55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Segment Profit margin/Segment adjusted EBIT margin</w:t>
            </w:r>
            <w:r>
              <w:rPr>
                <w:rFonts w:ascii="Arial" w:cs="Arial" w:eastAsia="Arial" w:hAnsi="Arial"/>
                <w:sz w:val="23"/>
                <w:szCs w:val="23"/>
                <w:color w:val="auto"/>
                <w:vertAlign w:val="superscript"/>
              </w:rPr>
              <w:t>(1)</w:t>
            </w:r>
          </w:p>
        </w:tc>
        <w:tc>
          <w:tcPr>
            <w:tcW w:w="140" w:type="dxa"/>
            <w:vAlign w:val="bottom"/>
            <w:tcBorders>
              <w:bottom w:val="single" w:sz="8" w:color="BFBFBF"/>
            </w:tcBorders>
          </w:tcPr>
          <w:p>
            <w:pPr>
              <w:spacing w:after="0"/>
              <w:rPr>
                <w:sz w:val="19"/>
                <w:szCs w:val="19"/>
                <w:color w:val="auto"/>
              </w:rPr>
            </w:pPr>
          </w:p>
        </w:tc>
        <w:tc>
          <w:tcPr>
            <w:tcW w:w="12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28 %</w:t>
            </w:r>
          </w:p>
        </w:tc>
        <w:tc>
          <w:tcPr>
            <w:tcW w:w="20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BFBFBF"/>
            </w:tcBorders>
          </w:tcPr>
          <w:p>
            <w:pPr>
              <w:spacing w:after="0"/>
              <w:rPr>
                <w:sz w:val="19"/>
                <w:szCs w:val="19"/>
                <w:color w:val="auto"/>
              </w:rPr>
            </w:pPr>
          </w:p>
        </w:tc>
        <w:tc>
          <w:tcPr>
            <w:tcW w:w="160" w:type="dxa"/>
            <w:vAlign w:val="bottom"/>
            <w:tcBorders>
              <w:bottom w:val="single" w:sz="8" w:color="BFBFBF"/>
            </w:tcBorders>
          </w:tcPr>
          <w:p>
            <w:pPr>
              <w:spacing w:after="0"/>
              <w:rPr>
                <w:sz w:val="19"/>
                <w:szCs w:val="19"/>
                <w:color w:val="auto"/>
              </w:rPr>
            </w:pPr>
          </w:p>
        </w:tc>
        <w:tc>
          <w:tcPr>
            <w:tcW w:w="1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28 %</w:t>
            </w:r>
          </w:p>
        </w:tc>
        <w:tc>
          <w:tcPr>
            <w:tcW w:w="2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31 %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5" w:lineRule="exact"/>
        <w:rPr>
          <w:sz w:val="20"/>
          <w:szCs w:val="20"/>
          <w:color w:val="auto"/>
        </w:rPr>
      </w:pPr>
    </w:p>
    <w:p>
      <w:pPr>
        <w:ind w:left="340" w:hanging="332"/>
        <w:spacing w:after="0" w:line="284" w:lineRule="auto"/>
        <w:tabs>
          <w:tab w:leader="none" w:pos="354"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Operations—Non-GAAP Financial Measures” for the definition of Segment adjusted EBIT and Segment adjusted EBIT margin.</w:t>
      </w:r>
    </w:p>
    <w:p>
      <w:pPr>
        <w:spacing w:after="0" w:line="10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sets forth the factors contributing to year-over-year changes in our CS segment’s Net sales for the three and nine months ended September 26, 2026: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36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Q3 2026 vs. Q3 2025</w:t>
            </w:r>
          </w:p>
        </w:tc>
        <w:tc>
          <w:tcPr>
            <w:tcW w:w="1960" w:type="dxa"/>
            <w:vAlign w:val="bottom"/>
          </w:tcPr>
          <w:p>
            <w:pPr>
              <w:jc w:val="right"/>
              <w:ind w:right="75"/>
              <w:spacing w:after="0"/>
              <w:rPr>
                <w:sz w:val="20"/>
                <w:szCs w:val="20"/>
                <w:color w:val="auto"/>
              </w:rPr>
            </w:pPr>
            <w:r>
              <w:rPr>
                <w:rFonts w:ascii="Arial" w:cs="Arial" w:eastAsia="Arial" w:hAnsi="Arial"/>
                <w:sz w:val="14"/>
                <w:szCs w:val="14"/>
                <w:b w:val="1"/>
                <w:bCs w:val="1"/>
                <w:color w:val="auto"/>
              </w:rPr>
              <w:t>YTD Q3 2026 vs. YTD Q3</w:t>
            </w:r>
          </w:p>
        </w:tc>
        <w:tc>
          <w:tcPr>
            <w:tcW w:w="0" w:type="dxa"/>
            <w:vAlign w:val="bottom"/>
          </w:tcPr>
          <w:p>
            <w:pPr>
              <w:spacing w:after="0"/>
              <w:rPr>
                <w:sz w:val="1"/>
                <w:szCs w:val="1"/>
                <w:color w:val="auto"/>
              </w:rPr>
            </w:pPr>
          </w:p>
        </w:tc>
      </w:tr>
      <w:tr>
        <w:trPr>
          <w:trHeight w:val="185"/>
        </w:trPr>
        <w:tc>
          <w:tcPr>
            <w:tcW w:w="4920" w:type="dxa"/>
            <w:vAlign w:val="bottom"/>
            <w:tcBorders>
              <w:bottom w:val="single" w:sz="8" w:color="FF4400"/>
            </w:tcBorders>
          </w:tcPr>
          <w:p>
            <w:pPr>
              <w:spacing w:after="0"/>
              <w:rPr>
                <w:sz w:val="16"/>
                <w:szCs w:val="16"/>
                <w:color w:val="auto"/>
              </w:rPr>
            </w:pPr>
          </w:p>
        </w:tc>
        <w:tc>
          <w:tcPr>
            <w:tcW w:w="4360" w:type="dxa"/>
            <w:vAlign w:val="bottom"/>
            <w:tcBorders>
              <w:bottom w:val="single" w:sz="8" w:color="FF4400"/>
            </w:tcBorders>
            <w:vMerge w:val="continue"/>
          </w:tcPr>
          <w:p>
            <w:pPr>
              <w:spacing w:after="0"/>
              <w:rPr>
                <w:sz w:val="16"/>
                <w:szCs w:val="16"/>
                <w:color w:val="auto"/>
              </w:rPr>
            </w:pPr>
          </w:p>
        </w:tc>
        <w:tc>
          <w:tcPr>
            <w:tcW w:w="1960" w:type="dxa"/>
            <w:vAlign w:val="bottom"/>
            <w:tcBorders>
              <w:bottom w:val="single" w:sz="8" w:color="FF4400"/>
            </w:tcBorders>
          </w:tcPr>
          <w:p>
            <w:pPr>
              <w:jc w:val="right"/>
              <w:ind w:right="75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4360" w:type="dxa"/>
            <w:vAlign w:val="bottom"/>
            <w:tcBorders>
              <w:bottom w:val="single" w:sz="8" w:color="BFBFBF"/>
            </w:tcBorders>
          </w:tcPr>
          <w:p>
            <w:pPr>
              <w:ind w:left="3820"/>
              <w:spacing w:after="0"/>
              <w:rPr>
                <w:sz w:val="20"/>
                <w:szCs w:val="20"/>
                <w:color w:val="auto"/>
              </w:rPr>
            </w:pPr>
            <w:r>
              <w:rPr>
                <w:rFonts w:ascii="Arial" w:cs="Arial" w:eastAsia="Arial" w:hAnsi="Arial"/>
                <w:sz w:val="18"/>
                <w:szCs w:val="18"/>
                <w:color w:val="auto"/>
              </w:rPr>
              <w:t>— %</w:t>
            </w:r>
          </w:p>
        </w:tc>
        <w:tc>
          <w:tcPr>
            <w:tcW w:w="19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4360" w:type="dxa"/>
            <w:vAlign w:val="bottom"/>
            <w:tcBorders>
              <w:bottom w:val="single" w:sz="8" w:color="BFBFBF"/>
            </w:tcBorders>
          </w:tcPr>
          <w:p>
            <w:pPr>
              <w:ind w:left="3820"/>
              <w:spacing w:after="0"/>
              <w:rPr>
                <w:sz w:val="20"/>
                <w:szCs w:val="20"/>
                <w:color w:val="auto"/>
              </w:rPr>
            </w:pPr>
            <w:r>
              <w:rPr>
                <w:rFonts w:ascii="Arial" w:cs="Arial" w:eastAsia="Arial" w:hAnsi="Arial"/>
                <w:sz w:val="18"/>
                <w:szCs w:val="18"/>
                <w:color w:val="auto"/>
              </w:rPr>
              <w:t>— %</w:t>
            </w:r>
          </w:p>
        </w:tc>
        <w:tc>
          <w:tcPr>
            <w:tcW w:w="19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Acquisitions</w:t>
            </w:r>
          </w:p>
        </w:tc>
        <w:tc>
          <w:tcPr>
            <w:tcW w:w="4360" w:type="dxa"/>
            <w:vAlign w:val="bottom"/>
            <w:tcBorders>
              <w:bottom w:val="single" w:sz="8" w:color="BFBFBF"/>
            </w:tcBorders>
          </w:tcPr>
          <w:p>
            <w:pPr>
              <w:ind w:left="3820"/>
              <w:spacing w:after="0"/>
              <w:rPr>
                <w:sz w:val="20"/>
                <w:szCs w:val="20"/>
                <w:color w:val="auto"/>
              </w:rPr>
            </w:pPr>
            <w:r>
              <w:rPr>
                <w:rFonts w:ascii="Arial" w:cs="Arial" w:eastAsia="Arial" w:hAnsi="Arial"/>
                <w:sz w:val="18"/>
                <w:szCs w:val="18"/>
                <w:color w:val="auto"/>
              </w:rPr>
              <w:t>— %</w:t>
            </w:r>
          </w:p>
        </w:tc>
        <w:tc>
          <w:tcPr>
            <w:tcW w:w="19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w:t>
            </w:r>
          </w:p>
        </w:tc>
        <w:tc>
          <w:tcPr>
            <w:tcW w:w="4360" w:type="dxa"/>
            <w:vAlign w:val="bottom"/>
            <w:tcBorders>
              <w:bottom w:val="single" w:sz="8" w:color="384348"/>
            </w:tcBorders>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tcBorders>
              <w:bottom w:val="single" w:sz="8" w:color="384348"/>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Total % change in Net sales</w:t>
            </w:r>
          </w:p>
        </w:tc>
        <w:tc>
          <w:tcPr>
            <w:tcW w:w="4360" w:type="dxa"/>
            <w:vAlign w:val="bottom"/>
            <w:tcBorders>
              <w:bottom w:val="single" w:sz="8" w:color="384348"/>
            </w:tcBorders>
          </w:tcPr>
          <w:p>
            <w:pPr>
              <w:ind w:left="3820"/>
              <w:spacing w:after="0"/>
              <w:rPr>
                <w:sz w:val="20"/>
                <w:szCs w:val="20"/>
                <w:color w:val="auto"/>
              </w:rPr>
            </w:pPr>
            <w:r>
              <w:rPr>
                <w:rFonts w:ascii="Arial" w:cs="Arial" w:eastAsia="Arial" w:hAnsi="Arial"/>
                <w:sz w:val="18"/>
                <w:szCs w:val="18"/>
                <w:b w:val="1"/>
                <w:bCs w:val="1"/>
                <w:color w:val="auto"/>
              </w:rPr>
              <w:t>— %</w:t>
            </w:r>
          </w:p>
        </w:tc>
        <w:tc>
          <w:tcPr>
            <w:tcW w:w="19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68"/>
        </w:trPr>
        <w:tc>
          <w:tcPr>
            <w:tcW w:w="4920" w:type="dxa"/>
            <w:vAlign w:val="bottom"/>
          </w:tcPr>
          <w:p>
            <w:pPr>
              <w:spacing w:after="0"/>
              <w:rPr>
                <w:sz w:val="20"/>
                <w:szCs w:val="20"/>
                <w:color w:val="auto"/>
              </w:rPr>
            </w:pPr>
            <w:r>
              <w:rPr>
                <w:rFonts w:ascii="Arial" w:cs="Arial" w:eastAsia="Arial" w:hAnsi="Arial"/>
                <w:sz w:val="14"/>
                <w:szCs w:val="14"/>
                <w:color w:val="auto"/>
              </w:rPr>
              <w:t>__________________</w:t>
            </w:r>
          </w:p>
        </w:tc>
        <w:tc>
          <w:tcPr>
            <w:tcW w:w="43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Operations—Non-GAAP Financial Measures” for the definition of Organic sales growth.</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26, 2026 compared with the three months ended September 27, 2025</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CS Net sales remained flat due to lower organic sales of $15 million in Commercial Aftermarket, partially offset by higher organic sales of $9 million in Defense and Space.</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Segment profit and Segment adjusted EBIT increased by $6 million or 2% and Segment profit margin and Segment adjusted EBIT margin remained flat for the three months ended September 26, 2026.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26, 2026 compared with the nine months ended September 27, 2025</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CS Net sales increased $27 million due to higher organic sales of $50 million in Commercial Aftermarket and $24 million in Defense and Space, partially offset by lower organic sales of $56 million in Commercial Original Equipment.</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Segment profit and Segment adjusted EBIT decreased by $86 million or 7% and Segment profit margin and Segment adjusted EBIT margin decreased 3% for the nine months ended September 26, 2026.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All Other</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Corporate and All Other primarily includes unallocated corporate costs and is not a separate reportable business segment. We monitor the activities in Corporate and All Other to determine the need for further reportable business segment disaggregation.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non-GAAP financial measures to supplement the financial measures prepared in accordance with GAAP. These include (1) Organic sales growth, (2) Total segment profit, (3) Adjusted EBIT, (4) Adjusted EBIT margin, (5) Segment adjusted EBIT, and (6) Segment adjusted EBIT margin.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Below are definitions and reconciliations of certain non-GAAP financial measures to the most directly comparable financial measures calculated and presented in accordance with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more meaningful measure of its performance period to period, align with how management evaluates performance internally, and make it easier for investors to compare our performance to peers. These measures should be considered in addition to, and not as replacements for, the most directly comparable GAAP measure. The non-GAAP financial measures we use are as follows:</w:t>
      </w:r>
    </w:p>
    <w:p>
      <w:pPr>
        <w:spacing w:after="0" w:line="129" w:lineRule="exact"/>
        <w:rPr>
          <w:sz w:val="20"/>
          <w:szCs w:val="20"/>
          <w:color w:val="auto"/>
        </w:rPr>
      </w:pPr>
    </w:p>
    <w:p>
      <w:pPr>
        <w:jc w:val="both"/>
        <w:ind w:left="660" w:hanging="328"/>
        <w:spacing w:after="0" w:line="259"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Organic sales growth: </w:t>
      </w:r>
      <w:r>
        <w:rPr>
          <w:rFonts w:ascii="Arial" w:cs="Arial" w:eastAsia="Arial" w:hAnsi="Arial"/>
          <w:sz w:val="18"/>
          <w:szCs w:val="18"/>
          <w:color w:val="auto"/>
        </w:rPr>
        <w:t>We define organic sales growth as the change in reported Net sales relative to the comparable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the impact on sales from foreign currency translation and acquisitions, net of divestitures, for the first 12 months following the transaction date, and other items that are unusual and non-recurring in nature (e.g. impact of comprehensive settlement related to Flexjet litigation). We believe this measure is useful to investors and management in understanding our ongoing operations and in analysis of ongoing operating trends.</w:t>
      </w:r>
    </w:p>
    <w:p>
      <w:pPr>
        <w:spacing w:after="0" w:line="125" w:lineRule="exact"/>
        <w:rPr>
          <w:rFonts w:ascii="Arial" w:cs="Arial" w:eastAsia="Arial" w:hAnsi="Arial"/>
          <w:sz w:val="18"/>
          <w:szCs w:val="18"/>
          <w:color w:val="auto"/>
        </w:rPr>
      </w:pPr>
    </w:p>
    <w:p>
      <w:pPr>
        <w:jc w:val="both"/>
        <w:ind w:left="660" w:hanging="328"/>
        <w:spacing w:after="0" w:line="259"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Total segment profit</w:t>
      </w:r>
      <w:r>
        <w:rPr>
          <w:rFonts w:ascii="Arial" w:cs="Arial" w:eastAsia="Arial" w:hAnsi="Arial"/>
          <w:sz w:val="18"/>
          <w:szCs w:val="18"/>
          <w:color w:val="auto"/>
        </w:rPr>
        <w:t>: We define Total segment profit as Net income excluding taxes, interest, amortization of acquisition-related</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intangibles, stock compensation expense, environmental expense, pension (income) expense, repositioning and other charges, transaction costs, expenses associated with the Honeywell trademark license, and other items within Other (income) expense, net. We believe this measure is useful to investors as it provides greater transparency with respect to supplemental information used by management in its financial and operational decision making, as well as for understanding ongoing operating trends.</w:t>
      </w:r>
    </w:p>
    <w:p>
      <w:pPr>
        <w:spacing w:after="0" w:line="125" w:lineRule="exact"/>
        <w:rPr>
          <w:rFonts w:ascii="Arial" w:cs="Arial" w:eastAsia="Arial" w:hAnsi="Arial"/>
          <w:sz w:val="18"/>
          <w:szCs w:val="18"/>
          <w:color w:val="auto"/>
        </w:rPr>
      </w:pPr>
    </w:p>
    <w:p>
      <w:pPr>
        <w:jc w:val="both"/>
        <w:ind w:left="660" w:hanging="328"/>
        <w:spacing w:after="0" w:line="255"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 and Adjusted EBIT margin: </w:t>
      </w:r>
      <w:r>
        <w:rPr>
          <w:rFonts w:ascii="Arial" w:cs="Arial" w:eastAsia="Arial" w:hAnsi="Arial"/>
          <w:sz w:val="18"/>
          <w:szCs w:val="18"/>
          <w:color w:val="auto"/>
        </w:rPr>
        <w:t>We define Adjusted EBIT as Net income excluding taxes, interest, amortization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acquisition-related intangibles, stock compensation expense, environmental expense, pension (income) expense, repositioning and other charges, transaction costs, expenses associated with the Honeywell trademark license, other items within Other (income) expense, net, and other items that are unusual or non-recurring in nature, including but not limited to impairment charges and litigation charges (e.g., comprehensive settlement related to Flexjet litigation). We define Adjusted EBIT margin as Adjusted EBIT divided by Net sales adjusted for the impact of the Flexjet-related litigation settlement. We believe these measures are useful to investors as they provide greater transparency with respect to supplemental information used by management in its financial and operational decision making, as well as for understanding ongoing operating trends.</w:t>
      </w:r>
    </w:p>
    <w:p>
      <w:pPr>
        <w:spacing w:after="0" w:line="130" w:lineRule="exact"/>
        <w:rPr>
          <w:rFonts w:ascii="Arial" w:cs="Arial" w:eastAsia="Arial" w:hAnsi="Arial"/>
          <w:sz w:val="18"/>
          <w:szCs w:val="18"/>
          <w:color w:val="auto"/>
        </w:rPr>
      </w:pPr>
    </w:p>
    <w:p>
      <w:pPr>
        <w:jc w:val="both"/>
        <w:ind w:left="660" w:hanging="328"/>
        <w:spacing w:after="0" w:line="255"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Segment adjusted EBIT and Segment adjusted EBIT margin: </w:t>
      </w:r>
      <w:r>
        <w:rPr>
          <w:rFonts w:ascii="Arial" w:cs="Arial" w:eastAsia="Arial" w:hAnsi="Arial"/>
          <w:sz w:val="18"/>
          <w:szCs w:val="18"/>
          <w:color w:val="auto"/>
        </w:rPr>
        <w:t>We define Segment adjusted EBIT as Income before taxes</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interest, amortization of acquisition-related intangibles, stock compensation expense, environmental expense, pension (income) expense, repositioning and other charges, transaction costs, expenses associated with the Honeywell trademark license, other items within Other (income) expense, net, and other items that are otherwise of an unusual or non-recurring in nature, including but not limited to impairment charges and litigation charges (e.g., comprehensive settlement related to Flexjet litigation). We define Segment adjusted EBIT margin as Segment adjusted EBIT divided by Net sales adjusted for the impact of the Flexjet-related litigation settlement. We believe these measures are useful to investors as they provide greater transparency with respect to supplemental information used by management in its financial and operational decision making, as well as for understanding ongoing operating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9" w:name="page50"/>
    <w:bookmarkEnd w:id="49"/>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1000" w:type="dxa"/>
            <w:vAlign w:val="bottom"/>
            <w:tcBorders>
              <w:bottom w:val="single" w:sz="8" w:color="FF4400"/>
            </w:tcBorders>
          </w:tcPr>
          <w:p>
            <w:pPr>
              <w:spacing w:after="0"/>
              <w:rPr>
                <w:sz w:val="17"/>
                <w:szCs w:val="17"/>
                <w:color w:val="auto"/>
              </w:rPr>
            </w:pPr>
          </w:p>
        </w:tc>
        <w:tc>
          <w:tcPr>
            <w:tcW w:w="2720" w:type="dxa"/>
            <w:vAlign w:val="bottom"/>
            <w:tcBorders>
              <w:bottom w:val="single" w:sz="8" w:color="FF4400"/>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FF4400"/>
            </w:tcBorders>
          </w:tcPr>
          <w:p>
            <w:pPr>
              <w:spacing w:after="0"/>
              <w:rPr>
                <w:sz w:val="17"/>
                <w:szCs w:val="17"/>
                <w:color w:val="auto"/>
              </w:rPr>
            </w:pPr>
          </w:p>
        </w:tc>
      </w:tr>
      <w:tr>
        <w:trPr>
          <w:trHeight w:val="204"/>
        </w:trPr>
        <w:tc>
          <w:tcPr>
            <w:tcW w:w="590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2400" w:type="dxa"/>
            <w:vAlign w:val="bottom"/>
            <w:tcBorders>
              <w:bottom w:val="single" w:sz="8" w:color="FF4400"/>
            </w:tcBorders>
            <w:gridSpan w:val="2"/>
          </w:tcPr>
          <w:p>
            <w:pPr>
              <w:jc w:val="right"/>
              <w:ind w:right="554"/>
              <w:spacing w:after="0"/>
              <w:rPr>
                <w:sz w:val="20"/>
                <w:szCs w:val="20"/>
                <w:color w:val="auto"/>
              </w:rPr>
            </w:pPr>
            <w:r>
              <w:rPr>
                <w:rFonts w:ascii="Arial" w:cs="Arial" w:eastAsia="Arial" w:hAnsi="Arial"/>
                <w:sz w:val="14"/>
                <w:szCs w:val="14"/>
                <w:b w:val="1"/>
                <w:bCs w:val="1"/>
                <w:color w:val="auto"/>
              </w:rPr>
              <w:t>September 26, 2026</w:t>
            </w:r>
          </w:p>
        </w:tc>
        <w:tc>
          <w:tcPr>
            <w:tcW w:w="10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2400" w:type="dxa"/>
            <w:vAlign w:val="bottom"/>
            <w:tcBorders>
              <w:bottom w:val="single" w:sz="8" w:color="FF4400"/>
            </w:tcBorders>
            <w:gridSpan w:val="2"/>
          </w:tcPr>
          <w:p>
            <w:pPr>
              <w:jc w:val="right"/>
              <w:ind w:right="553"/>
              <w:spacing w:after="0"/>
              <w:rPr>
                <w:sz w:val="20"/>
                <w:szCs w:val="20"/>
                <w:color w:val="auto"/>
              </w:rPr>
            </w:pPr>
            <w:r>
              <w:rPr>
                <w:rFonts w:ascii="Arial" w:cs="Arial" w:eastAsia="Arial" w:hAnsi="Arial"/>
                <w:sz w:val="14"/>
                <w:szCs w:val="14"/>
                <w:b w:val="1"/>
                <w:bCs w:val="1"/>
                <w:color w:val="auto"/>
              </w:rPr>
              <w:t>September 27, 2025</w:t>
            </w:r>
          </w:p>
        </w:tc>
      </w:tr>
      <w:tr>
        <w:trPr>
          <w:trHeight w:val="166"/>
        </w:trPr>
        <w:tc>
          <w:tcPr>
            <w:tcW w:w="5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Percentage of Net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Percentage of Net</w:t>
            </w:r>
          </w:p>
        </w:tc>
      </w:tr>
      <w:tr>
        <w:trPr>
          <w:trHeight w:val="205"/>
        </w:trPr>
        <w:tc>
          <w:tcPr>
            <w:tcW w:w="5900" w:type="dxa"/>
            <w:vAlign w:val="bottom"/>
            <w:tcBorders>
              <w:bottom w:val="single" w:sz="8" w:color="FF4400"/>
            </w:tcBorders>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1000" w:type="dxa"/>
            <w:vAlign w:val="bottom"/>
            <w:tcBorders>
              <w:bottom w:val="single" w:sz="8" w:color="FF4400"/>
            </w:tcBorders>
          </w:tcPr>
          <w:p>
            <w:pPr>
              <w:jc w:val="right"/>
              <w:ind w:right="273"/>
              <w:spacing w:after="0"/>
              <w:rPr>
                <w:sz w:val="20"/>
                <w:szCs w:val="20"/>
                <w:color w:val="auto"/>
              </w:rPr>
            </w:pPr>
            <w:r>
              <w:rPr>
                <w:rFonts w:ascii="Arial" w:cs="Arial" w:eastAsia="Arial" w:hAnsi="Arial"/>
                <w:sz w:val="14"/>
                <w:szCs w:val="14"/>
                <w:b w:val="1"/>
                <w:bCs w:val="1"/>
                <w:color w:val="auto"/>
              </w:rPr>
              <w:t>Amount</w:t>
            </w:r>
          </w:p>
        </w:tc>
        <w:tc>
          <w:tcPr>
            <w:tcW w:w="1500" w:type="dxa"/>
            <w:vAlign w:val="bottom"/>
            <w:tcBorders>
              <w:bottom w:val="single" w:sz="8" w:color="FF4400"/>
            </w:tcBorders>
            <w:gridSpan w:val="2"/>
          </w:tcPr>
          <w:p>
            <w:pPr>
              <w:jc w:val="center"/>
              <w:ind w:right="60"/>
              <w:spacing w:after="0"/>
              <w:rPr>
                <w:sz w:val="20"/>
                <w:szCs w:val="20"/>
                <w:color w:val="auto"/>
              </w:rPr>
            </w:pPr>
            <w:r>
              <w:rPr>
                <w:rFonts w:ascii="Arial" w:cs="Arial" w:eastAsia="Arial" w:hAnsi="Arial"/>
                <w:sz w:val="14"/>
                <w:szCs w:val="14"/>
                <w:b w:val="1"/>
                <w:bCs w:val="1"/>
                <w:color w:val="auto"/>
                <w:w w:val="98"/>
              </w:rPr>
              <w:t>Sales</w:t>
            </w:r>
          </w:p>
        </w:tc>
        <w:tc>
          <w:tcPr>
            <w:tcW w:w="220" w:type="dxa"/>
            <w:vAlign w:val="bottom"/>
            <w:tcBorders>
              <w:bottom w:val="single" w:sz="8" w:color="FF4400"/>
            </w:tcBorders>
          </w:tcPr>
          <w:p>
            <w:pPr>
              <w:spacing w:after="0"/>
              <w:rPr>
                <w:sz w:val="17"/>
                <w:szCs w:val="17"/>
                <w:color w:val="auto"/>
              </w:rPr>
            </w:pPr>
          </w:p>
        </w:tc>
        <w:tc>
          <w:tcPr>
            <w:tcW w:w="1000" w:type="dxa"/>
            <w:vAlign w:val="bottom"/>
            <w:tcBorders>
              <w:bottom w:val="single" w:sz="8" w:color="FF4400"/>
            </w:tcBorders>
          </w:tcPr>
          <w:p>
            <w:pPr>
              <w:jc w:val="right"/>
              <w:ind w:right="293"/>
              <w:spacing w:after="0"/>
              <w:rPr>
                <w:sz w:val="20"/>
                <w:szCs w:val="20"/>
                <w:color w:val="auto"/>
              </w:rPr>
            </w:pPr>
            <w:r>
              <w:rPr>
                <w:rFonts w:ascii="Arial" w:cs="Arial" w:eastAsia="Arial" w:hAnsi="Arial"/>
                <w:sz w:val="14"/>
                <w:szCs w:val="14"/>
                <w:b w:val="1"/>
                <w:bCs w:val="1"/>
                <w:color w:val="auto"/>
              </w:rPr>
              <w:t>Amount</w:t>
            </w:r>
          </w:p>
        </w:tc>
        <w:tc>
          <w:tcPr>
            <w:tcW w:w="1400" w:type="dxa"/>
            <w:vAlign w:val="bottom"/>
            <w:tcBorders>
              <w:bottom w:val="single" w:sz="8" w:color="FF4400"/>
            </w:tcBorders>
          </w:tcPr>
          <w:p>
            <w:pPr>
              <w:jc w:val="right"/>
              <w:ind w:right="413"/>
              <w:spacing w:after="0"/>
              <w:rPr>
                <w:sz w:val="20"/>
                <w:szCs w:val="20"/>
                <w:color w:val="auto"/>
              </w:rPr>
            </w:pPr>
            <w:r>
              <w:rPr>
                <w:rFonts w:ascii="Arial" w:cs="Arial" w:eastAsia="Arial" w:hAnsi="Arial"/>
                <w:sz w:val="14"/>
                <w:szCs w:val="14"/>
                <w:b w:val="1"/>
                <w:bCs w:val="1"/>
                <w:color w:val="auto"/>
              </w:rPr>
              <w:t>Sales</w:t>
            </w:r>
          </w:p>
        </w:tc>
      </w:tr>
      <w:tr>
        <w:trPr>
          <w:trHeight w:val="256"/>
        </w:trPr>
        <w:tc>
          <w:tcPr>
            <w:tcW w:w="590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b w:val="1"/>
                <w:bCs w:val="1"/>
                <w:color w:val="auto"/>
              </w:rPr>
              <w:t>737</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rPr>
              <w:t>16 %</w:t>
            </w:r>
          </w:p>
        </w:tc>
        <w:tc>
          <w:tcPr>
            <w:tcW w:w="100" w:type="dxa"/>
            <w:vAlign w:val="bottom"/>
            <w:tcBorders>
              <w:bottom w:val="single" w:sz="8" w:color="BFBFBF"/>
            </w:tcBorders>
          </w:tcPr>
          <w:p>
            <w:pPr>
              <w:spacing w:after="0"/>
              <w:rPr>
                <w:sz w:val="22"/>
                <w:szCs w:val="22"/>
                <w:color w:val="auto"/>
              </w:rPr>
            </w:pPr>
          </w:p>
        </w:tc>
        <w:tc>
          <w:tcPr>
            <w:tcW w:w="22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b w:val="1"/>
                <w:bCs w:val="1"/>
                <w:color w:val="auto"/>
              </w:rPr>
              <w:t>654</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rPr>
              <w:t>14 %</w:t>
            </w:r>
          </w:p>
        </w:tc>
      </w:tr>
      <w:tr>
        <w:trPr>
          <w:trHeight w:val="250"/>
        </w:trPr>
        <w:tc>
          <w:tcPr>
            <w:tcW w:w="59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164</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BFBFBF"/>
            </w:tcBorders>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87</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2 %</w:t>
            </w:r>
          </w:p>
        </w:tc>
      </w:tr>
      <w:tr>
        <w:trPr>
          <w:trHeight w:val="250"/>
        </w:trPr>
        <w:tc>
          <w:tcPr>
            <w:tcW w:w="5900" w:type="dxa"/>
            <w:vAlign w:val="bottom"/>
            <w:tcBorders>
              <w:bottom w:val="single" w:sz="8" w:color="BFBFBF"/>
            </w:tcBorders>
          </w:tcPr>
          <w:p>
            <w:pPr>
              <w:ind w:left="20"/>
              <w:spacing w:after="0" w:line="250" w:lineRule="exact"/>
              <w:rPr>
                <w:sz w:val="20"/>
                <w:szCs w:val="20"/>
                <w:color w:val="auto"/>
              </w:rPr>
            </w:pPr>
            <w:r>
              <w:rPr>
                <w:rFonts w:ascii="Arial" w:cs="Arial" w:eastAsia="Arial" w:hAnsi="Arial"/>
                <w:sz w:val="18"/>
                <w:szCs w:val="18"/>
                <w:color w:val="auto"/>
              </w:rPr>
              <w:t>Amortization of acquisition-related intangibles</w:t>
            </w:r>
            <w:r>
              <w:rPr>
                <w:rFonts w:ascii="Arial" w:cs="Arial" w:eastAsia="Arial" w:hAnsi="Arial"/>
                <w:sz w:val="23"/>
                <w:szCs w:val="23"/>
                <w:color w:val="auto"/>
                <w:vertAlign w:val="superscript"/>
              </w:rPr>
              <w:t>(1)</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28</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BFBFBF"/>
            </w:tcBorders>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3</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900" w:type="dxa"/>
            <w:vAlign w:val="bottom"/>
            <w:tcBorders>
              <w:bottom w:val="single" w:sz="8" w:color="BFBFBF"/>
            </w:tcBorders>
          </w:tcPr>
          <w:p>
            <w:pPr>
              <w:ind w:left="20"/>
              <w:spacing w:after="0" w:line="250"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3"/>
                <w:szCs w:val="23"/>
                <w:color w:val="auto"/>
                <w:vertAlign w:val="superscript"/>
              </w:rPr>
              <w:t>(2)</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28</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BFBFBF"/>
            </w:tcBorders>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16</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900" w:type="dxa"/>
            <w:vAlign w:val="bottom"/>
            <w:tcBorders>
              <w:bottom w:val="single" w:sz="8" w:color="BFBFBF"/>
            </w:tcBorders>
          </w:tcPr>
          <w:p>
            <w:pPr>
              <w:ind w:left="20"/>
              <w:spacing w:after="0" w:line="250" w:lineRule="exact"/>
              <w:rPr>
                <w:sz w:val="20"/>
                <w:szCs w:val="20"/>
                <w:color w:val="auto"/>
              </w:rPr>
            </w:pPr>
            <w:r>
              <w:rPr>
                <w:rFonts w:ascii="Arial" w:cs="Arial" w:eastAsia="Arial" w:hAnsi="Arial"/>
                <w:sz w:val="18"/>
                <w:szCs w:val="18"/>
                <w:color w:val="auto"/>
              </w:rPr>
              <w:t>Environmental expense</w:t>
            </w:r>
            <w:r>
              <w:rPr>
                <w:rFonts w:ascii="Arial" w:cs="Arial" w:eastAsia="Arial" w:hAnsi="Arial"/>
                <w:sz w:val="23"/>
                <w:szCs w:val="23"/>
                <w:color w:val="auto"/>
                <w:vertAlign w:val="superscript"/>
              </w:rPr>
              <w:t>(3)</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19</w:t>
            </w:r>
          </w:p>
        </w:tc>
        <w:tc>
          <w:tcPr>
            <w:tcW w:w="1500" w:type="dxa"/>
            <w:vAlign w:val="bottom"/>
            <w:tcBorders>
              <w:bottom w:val="single" w:sz="8" w:color="BFBFBF"/>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258</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6 %</w:t>
            </w:r>
          </w:p>
        </w:tc>
      </w:tr>
      <w:tr>
        <w:trPr>
          <w:trHeight w:val="250"/>
        </w:trPr>
        <w:tc>
          <w:tcPr>
            <w:tcW w:w="5900" w:type="dxa"/>
            <w:vAlign w:val="bottom"/>
            <w:tcBorders>
              <w:bottom w:val="single" w:sz="8" w:color="BFBFBF"/>
            </w:tcBorders>
          </w:tcPr>
          <w:p>
            <w:pPr>
              <w:ind w:left="20"/>
              <w:spacing w:after="0" w:line="250" w:lineRule="exact"/>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(4)</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18</w:t>
            </w:r>
          </w:p>
        </w:tc>
        <w:tc>
          <w:tcPr>
            <w:tcW w:w="1500" w:type="dxa"/>
            <w:vAlign w:val="bottom"/>
            <w:tcBorders>
              <w:bottom w:val="single" w:sz="8" w:color="BFBFBF"/>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143</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3 %</w:t>
            </w:r>
          </w:p>
        </w:tc>
      </w:tr>
      <w:tr>
        <w:trPr>
          <w:trHeight w:val="250"/>
        </w:trPr>
        <w:tc>
          <w:tcPr>
            <w:tcW w:w="5900" w:type="dxa"/>
            <w:vAlign w:val="bottom"/>
            <w:tcBorders>
              <w:bottom w:val="single" w:sz="8" w:color="BFBFBF"/>
            </w:tcBorders>
          </w:tcPr>
          <w:p>
            <w:pPr>
              <w:ind w:left="20"/>
              <w:spacing w:after="0" w:line="250" w:lineRule="exact"/>
              <w:rPr>
                <w:sz w:val="20"/>
                <w:szCs w:val="20"/>
                <w:color w:val="auto"/>
              </w:rPr>
            </w:pPr>
            <w:r>
              <w:rPr>
                <w:rFonts w:ascii="Arial" w:cs="Arial" w:eastAsia="Arial" w:hAnsi="Arial"/>
                <w:sz w:val="18"/>
                <w:szCs w:val="18"/>
                <w:color w:val="auto"/>
              </w:rPr>
              <w:t>Honeywell trademark license expense</w:t>
            </w:r>
            <w:r>
              <w:rPr>
                <w:rFonts w:ascii="Arial" w:cs="Arial" w:eastAsia="Arial" w:hAnsi="Arial"/>
                <w:sz w:val="23"/>
                <w:szCs w:val="23"/>
                <w:color w:val="auto"/>
                <w:vertAlign w:val="superscript"/>
              </w:rPr>
              <w:t>(2)</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54</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BFBFBF"/>
            </w:tcBorders>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900" w:type="dxa"/>
            <w:vAlign w:val="bottom"/>
            <w:tcBorders>
              <w:bottom w:val="single" w:sz="8" w:color="BFBFBF"/>
            </w:tcBorders>
          </w:tcPr>
          <w:p>
            <w:pPr>
              <w:ind w:left="20"/>
              <w:spacing w:after="0" w:line="250" w:lineRule="exact"/>
              <w:rPr>
                <w:sz w:val="20"/>
                <w:szCs w:val="20"/>
                <w:color w:val="auto"/>
              </w:rPr>
            </w:pPr>
            <w:r>
              <w:rPr>
                <w:rFonts w:ascii="Arial" w:cs="Arial" w:eastAsia="Arial" w:hAnsi="Arial"/>
                <w:sz w:val="18"/>
                <w:szCs w:val="18"/>
                <w:color w:val="auto"/>
              </w:rPr>
              <w:t>Pension (income) expense</w:t>
            </w:r>
            <w:r>
              <w:rPr>
                <w:rFonts w:ascii="Arial" w:cs="Arial" w:eastAsia="Arial" w:hAnsi="Arial"/>
                <w:sz w:val="23"/>
                <w:szCs w:val="23"/>
                <w:color w:val="auto"/>
                <w:vertAlign w:val="superscript"/>
              </w:rPr>
              <w:t>(5)</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13"/>
              <w:spacing w:after="0"/>
              <w:rPr>
                <w:sz w:val="20"/>
                <w:szCs w:val="20"/>
                <w:color w:val="auto"/>
              </w:rPr>
            </w:pPr>
            <w:r>
              <w:rPr>
                <w:rFonts w:ascii="Arial" w:cs="Arial" w:eastAsia="Arial" w:hAnsi="Arial"/>
                <w:sz w:val="18"/>
                <w:szCs w:val="18"/>
                <w:color w:val="auto"/>
              </w:rPr>
              <w:t>(76)</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BFBFBF"/>
            </w:tcBorders>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1</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9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Interest expense (income), net</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187</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BFBFBF"/>
            </w:tcBorders>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13"/>
              <w:spacing w:after="0"/>
              <w:rPr>
                <w:sz w:val="20"/>
                <w:szCs w:val="20"/>
                <w:color w:val="auto"/>
              </w:rPr>
            </w:pPr>
            <w:r>
              <w:rPr>
                <w:rFonts w:ascii="Arial" w:cs="Arial" w:eastAsia="Arial" w:hAnsi="Arial"/>
                <w:sz w:val="18"/>
                <w:szCs w:val="18"/>
                <w:color w:val="auto"/>
              </w:rPr>
              <w:t>(5)</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900" w:type="dxa"/>
            <w:vAlign w:val="bottom"/>
            <w:tcBorders>
              <w:bottom w:val="single" w:sz="8" w:color="384348"/>
            </w:tcBorders>
          </w:tcPr>
          <w:p>
            <w:pPr>
              <w:ind w:left="20"/>
              <w:spacing w:after="0" w:line="250" w:lineRule="exact"/>
              <w:rPr>
                <w:sz w:val="20"/>
                <w:szCs w:val="20"/>
                <w:color w:val="auto"/>
              </w:rPr>
            </w:pPr>
            <w:r>
              <w:rPr>
                <w:rFonts w:ascii="Arial" w:cs="Arial" w:eastAsia="Arial" w:hAnsi="Arial"/>
                <w:sz w:val="18"/>
                <w:szCs w:val="18"/>
                <w:color w:val="auto"/>
              </w:rPr>
              <w:t>Other, net</w:t>
            </w:r>
            <w:r>
              <w:rPr>
                <w:rFonts w:ascii="Arial" w:cs="Arial" w:eastAsia="Arial" w:hAnsi="Arial"/>
                <w:sz w:val="23"/>
                <w:szCs w:val="23"/>
                <w:color w:val="auto"/>
                <w:vertAlign w:val="superscript"/>
              </w:rPr>
              <w:t>(6)</w:t>
            </w:r>
          </w:p>
        </w:tc>
        <w:tc>
          <w:tcPr>
            <w:tcW w:w="220" w:type="dxa"/>
            <w:vAlign w:val="bottom"/>
            <w:tcBorders>
              <w:bottom w:val="single" w:sz="8" w:color="384348"/>
            </w:tcBorders>
          </w:tcPr>
          <w:p>
            <w:pPr>
              <w:spacing w:after="0"/>
              <w:rPr>
                <w:sz w:val="21"/>
                <w:szCs w:val="21"/>
                <w:color w:val="auto"/>
              </w:rPr>
            </w:pPr>
          </w:p>
        </w:tc>
        <w:tc>
          <w:tcPr>
            <w:tcW w:w="1000" w:type="dxa"/>
            <w:vAlign w:val="bottom"/>
            <w:tcBorders>
              <w:bottom w:val="single" w:sz="8" w:color="384348"/>
            </w:tcBorders>
          </w:tcPr>
          <w:p>
            <w:pPr>
              <w:jc w:val="right"/>
              <w:ind w:right="53"/>
              <w:spacing w:after="0"/>
              <w:rPr>
                <w:sz w:val="20"/>
                <w:szCs w:val="20"/>
                <w:color w:val="auto"/>
              </w:rPr>
            </w:pPr>
            <w:r>
              <w:rPr>
                <w:rFonts w:ascii="Arial" w:cs="Arial" w:eastAsia="Arial" w:hAnsi="Arial"/>
                <w:sz w:val="18"/>
                <w:szCs w:val="18"/>
                <w:color w:val="auto"/>
              </w:rPr>
              <w:t>2</w:t>
            </w:r>
          </w:p>
        </w:tc>
        <w:tc>
          <w:tcPr>
            <w:tcW w:w="1500" w:type="dxa"/>
            <w:vAlign w:val="bottom"/>
            <w:tcBorders>
              <w:bottom w:val="single" w:sz="8" w:color="384348"/>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384348"/>
            </w:tcBorders>
          </w:tcPr>
          <w:p>
            <w:pPr>
              <w:spacing w:after="0"/>
              <w:rPr>
                <w:sz w:val="21"/>
                <w:szCs w:val="21"/>
                <w:color w:val="auto"/>
              </w:rPr>
            </w:pPr>
          </w:p>
        </w:tc>
        <w:tc>
          <w:tcPr>
            <w:tcW w:w="1000" w:type="dxa"/>
            <w:vAlign w:val="bottom"/>
            <w:tcBorders>
              <w:bottom w:val="single" w:sz="8" w:color="384348"/>
            </w:tcBorders>
          </w:tcPr>
          <w:p>
            <w:pPr>
              <w:jc w:val="right"/>
              <w:ind w:right="13"/>
              <w:spacing w:after="0"/>
              <w:rPr>
                <w:sz w:val="20"/>
                <w:szCs w:val="20"/>
                <w:color w:val="auto"/>
              </w:rPr>
            </w:pPr>
            <w:r>
              <w:rPr>
                <w:rFonts w:ascii="Arial" w:cs="Arial" w:eastAsia="Arial" w:hAnsi="Arial"/>
                <w:sz w:val="18"/>
                <w:szCs w:val="18"/>
                <w:color w:val="auto"/>
              </w:rPr>
              <w:t>(6)</w:t>
            </w:r>
          </w:p>
        </w:tc>
        <w:tc>
          <w:tcPr>
            <w:tcW w:w="14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9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Total segment profit/Segment adjusted EBIT</w:t>
            </w:r>
          </w:p>
        </w:tc>
        <w:tc>
          <w:tcPr>
            <w:tcW w:w="22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384348"/>
            </w:tcBorders>
          </w:tcPr>
          <w:p>
            <w:pPr>
              <w:jc w:val="right"/>
              <w:ind w:right="53"/>
              <w:spacing w:after="0"/>
              <w:rPr>
                <w:sz w:val="20"/>
                <w:szCs w:val="20"/>
                <w:color w:val="auto"/>
              </w:rPr>
            </w:pPr>
            <w:r>
              <w:rPr>
                <w:rFonts w:ascii="Arial" w:cs="Arial" w:eastAsia="Arial" w:hAnsi="Arial"/>
                <w:sz w:val="18"/>
                <w:szCs w:val="18"/>
                <w:b w:val="1"/>
                <w:bCs w:val="1"/>
                <w:color w:val="auto"/>
              </w:rPr>
              <w:t>1,161</w:t>
            </w:r>
          </w:p>
        </w:tc>
        <w:tc>
          <w:tcPr>
            <w:tcW w:w="14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25 %</w:t>
            </w:r>
          </w:p>
        </w:tc>
        <w:tc>
          <w:tcPr>
            <w:tcW w:w="100" w:type="dxa"/>
            <w:vAlign w:val="bottom"/>
            <w:tcBorders>
              <w:bottom w:val="single" w:sz="8" w:color="384348"/>
            </w:tcBorders>
          </w:tcPr>
          <w:p>
            <w:pPr>
              <w:spacing w:after="0"/>
              <w:rPr>
                <w:sz w:val="21"/>
                <w:szCs w:val="21"/>
                <w:color w:val="auto"/>
              </w:rPr>
            </w:pPr>
          </w:p>
        </w:tc>
        <w:tc>
          <w:tcPr>
            <w:tcW w:w="22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384348"/>
            </w:tcBorders>
          </w:tcPr>
          <w:p>
            <w:pPr>
              <w:jc w:val="right"/>
              <w:ind w:right="53"/>
              <w:spacing w:after="0"/>
              <w:rPr>
                <w:sz w:val="20"/>
                <w:szCs w:val="20"/>
                <w:color w:val="auto"/>
              </w:rPr>
            </w:pPr>
            <w:r>
              <w:rPr>
                <w:rFonts w:ascii="Arial" w:cs="Arial" w:eastAsia="Arial" w:hAnsi="Arial"/>
                <w:sz w:val="18"/>
                <w:szCs w:val="18"/>
                <w:b w:val="1"/>
                <w:bCs w:val="1"/>
                <w:color w:val="auto"/>
              </w:rPr>
              <w:t>1,151</w:t>
            </w:r>
          </w:p>
        </w:tc>
        <w:tc>
          <w:tcPr>
            <w:tcW w:w="14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25 %</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included in Cost of products and services sold and Selling, general and administrative.</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included in Selling, general and administrative expenses.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included in Cost of products and services sold and Other (income) expense, net.</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included in Selling, general and administrative expenses and Other (income) expense, net.</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included in Cost of products and services sold, Selling, general and administrative, Research and development, and Other (income) expense, net.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include repositioning and other charges.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1160" w:type="dxa"/>
            <w:vAlign w:val="bottom"/>
            <w:tcBorders>
              <w:bottom w:val="single" w:sz="8" w:color="FF4400"/>
            </w:tcBorders>
          </w:tcPr>
          <w:p>
            <w:pPr>
              <w:spacing w:after="0"/>
              <w:rPr>
                <w:sz w:val="17"/>
                <w:szCs w:val="17"/>
                <w:color w:val="auto"/>
              </w:rPr>
            </w:pPr>
          </w:p>
        </w:tc>
        <w:tc>
          <w:tcPr>
            <w:tcW w:w="1360" w:type="dxa"/>
            <w:vAlign w:val="bottom"/>
            <w:tcBorders>
              <w:bottom w:val="single" w:sz="8" w:color="FF4400"/>
            </w:tcBorders>
          </w:tcPr>
          <w:p>
            <w:pPr>
              <w:spacing w:after="0"/>
              <w:rPr>
                <w:sz w:val="17"/>
                <w:szCs w:val="17"/>
                <w:color w:val="auto"/>
              </w:rPr>
            </w:pPr>
          </w:p>
        </w:tc>
        <w:tc>
          <w:tcPr>
            <w:tcW w:w="2960" w:type="dxa"/>
            <w:vAlign w:val="bottom"/>
            <w:tcBorders>
              <w:bottom w:val="single" w:sz="8" w:color="FF4400"/>
            </w:tcBorders>
            <w:gridSpan w:val="7"/>
          </w:tcPr>
          <w:p>
            <w:pPr>
              <w:jc w:val="right"/>
              <w:ind w:right="50"/>
              <w:spacing w:after="0"/>
              <w:rPr>
                <w:sz w:val="20"/>
                <w:szCs w:val="20"/>
                <w:color w:val="auto"/>
              </w:rPr>
            </w:pPr>
            <w:r>
              <w:rPr>
                <w:rFonts w:ascii="Arial" w:cs="Arial" w:eastAsia="Arial" w:hAnsi="Arial"/>
                <w:sz w:val="14"/>
                <w:szCs w:val="14"/>
                <w:b w:val="1"/>
                <w:bCs w:val="1"/>
                <w:color w:val="auto"/>
              </w:rPr>
              <w:t>Three Months Ended September 26, 2026</w:t>
            </w:r>
          </w:p>
        </w:tc>
        <w:tc>
          <w:tcPr>
            <w:tcW w:w="1220" w:type="dxa"/>
            <w:vAlign w:val="bottom"/>
            <w:tcBorders>
              <w:bottom w:val="single" w:sz="8" w:color="FF4400"/>
            </w:tcBorders>
          </w:tcPr>
          <w:p>
            <w:pPr>
              <w:spacing w:after="0"/>
              <w:rPr>
                <w:sz w:val="17"/>
                <w:szCs w:val="17"/>
                <w:color w:val="auto"/>
              </w:rPr>
            </w:pPr>
          </w:p>
        </w:tc>
        <w:tc>
          <w:tcPr>
            <w:tcW w:w="1380" w:type="dxa"/>
            <w:vAlign w:val="bottom"/>
            <w:tcBorders>
              <w:bottom w:val="single" w:sz="8" w:color="FF440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2520" w:type="dxa"/>
            <w:vAlign w:val="bottom"/>
            <w:tcBorders>
              <w:bottom w:val="single" w:sz="8" w:color="FF4400"/>
            </w:tcBorders>
            <w:gridSpan w:val="2"/>
          </w:tcPr>
          <w:p>
            <w:pPr>
              <w:jc w:val="right"/>
              <w:ind w:right="599"/>
              <w:spacing w:after="0"/>
              <w:rPr>
                <w:sz w:val="20"/>
                <w:szCs w:val="20"/>
                <w:color w:val="auto"/>
              </w:rPr>
            </w:pPr>
            <w:r>
              <w:rPr>
                <w:rFonts w:ascii="Arial" w:cs="Arial" w:eastAsia="Arial" w:hAnsi="Arial"/>
                <w:sz w:val="14"/>
                <w:szCs w:val="14"/>
                <w:b w:val="1"/>
                <w:bCs w:val="1"/>
                <w:color w:val="auto"/>
              </w:rPr>
              <w:t>Electronic Solutions</w:t>
            </w:r>
          </w:p>
        </w:tc>
        <w:tc>
          <w:tcPr>
            <w:tcW w:w="20" w:type="dxa"/>
            <w:vAlign w:val="bottom"/>
            <w:tcBorders>
              <w:bottom w:val="single" w:sz="8" w:color="FF4400"/>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2320" w:type="dxa"/>
            <w:vAlign w:val="bottom"/>
            <w:tcBorders>
              <w:bottom w:val="single" w:sz="8" w:color="FF4400"/>
            </w:tcBorders>
            <w:gridSpan w:val="2"/>
          </w:tcPr>
          <w:p>
            <w:pPr>
              <w:jc w:val="right"/>
              <w:ind w:right="279"/>
              <w:spacing w:after="0"/>
              <w:rPr>
                <w:sz w:val="20"/>
                <w:szCs w:val="20"/>
                <w:color w:val="auto"/>
              </w:rPr>
            </w:pPr>
            <w:r>
              <w:rPr>
                <w:rFonts w:ascii="Arial" w:cs="Arial" w:eastAsia="Arial" w:hAnsi="Arial"/>
                <w:sz w:val="14"/>
                <w:szCs w:val="14"/>
                <w:b w:val="1"/>
                <w:bCs w:val="1"/>
                <w:color w:val="auto"/>
              </w:rPr>
              <w:t>Engines &amp; Power Systems</w:t>
            </w:r>
          </w:p>
        </w:tc>
        <w:tc>
          <w:tcPr>
            <w:tcW w:w="80" w:type="dxa"/>
            <w:vAlign w:val="bottom"/>
          </w:tcPr>
          <w:p>
            <w:pPr>
              <w:spacing w:after="0"/>
              <w:rPr>
                <w:sz w:val="17"/>
                <w:szCs w:val="17"/>
                <w:color w:val="auto"/>
              </w:rPr>
            </w:pPr>
          </w:p>
        </w:tc>
        <w:tc>
          <w:tcPr>
            <w:tcW w:w="240" w:type="dxa"/>
            <w:vAlign w:val="bottom"/>
            <w:tcBorders>
              <w:bottom w:val="single" w:sz="8" w:color="FF4400"/>
            </w:tcBorders>
          </w:tcPr>
          <w:p>
            <w:pPr>
              <w:spacing w:after="0"/>
              <w:rPr>
                <w:sz w:val="17"/>
                <w:szCs w:val="17"/>
                <w:color w:val="auto"/>
              </w:rPr>
            </w:pPr>
          </w:p>
        </w:tc>
        <w:tc>
          <w:tcPr>
            <w:tcW w:w="2600" w:type="dxa"/>
            <w:vAlign w:val="bottom"/>
            <w:tcBorders>
              <w:bottom w:val="single" w:sz="8" w:color="FF4400"/>
            </w:tcBorders>
            <w:gridSpan w:val="2"/>
          </w:tcPr>
          <w:p>
            <w:pPr>
              <w:ind w:left="620"/>
              <w:spacing w:after="0"/>
              <w:rPr>
                <w:sz w:val="20"/>
                <w:szCs w:val="20"/>
                <w:color w:val="auto"/>
              </w:rPr>
            </w:pPr>
            <w:r>
              <w:rPr>
                <w:rFonts w:ascii="Arial" w:cs="Arial" w:eastAsia="Arial" w:hAnsi="Arial"/>
                <w:sz w:val="14"/>
                <w:szCs w:val="14"/>
                <w:b w:val="1"/>
                <w:bCs w:val="1"/>
                <w:color w:val="auto"/>
              </w:rPr>
              <w:t>Control Systems</w:t>
            </w:r>
          </w:p>
        </w:tc>
        <w:tc>
          <w:tcPr>
            <w:tcW w:w="0" w:type="dxa"/>
            <w:vAlign w:val="bottom"/>
          </w:tcPr>
          <w:p>
            <w:pPr>
              <w:spacing w:after="0"/>
              <w:rPr>
                <w:sz w:val="1"/>
                <w:szCs w:val="1"/>
                <w:color w:val="auto"/>
              </w:rPr>
            </w:pPr>
          </w:p>
        </w:tc>
      </w:tr>
      <w:tr>
        <w:trPr>
          <w:trHeight w:val="204"/>
        </w:trPr>
        <w:tc>
          <w:tcPr>
            <w:tcW w:w="2940" w:type="dxa"/>
            <w:vAlign w:val="bottom"/>
            <w:tcBorders>
              <w:bottom w:val="single" w:sz="8" w:color="FF4400"/>
            </w:tcBorders>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1160" w:type="dxa"/>
            <w:vAlign w:val="bottom"/>
            <w:tcBorders>
              <w:bottom w:val="single" w:sz="8" w:color="FF4400"/>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bottom w:val="single" w:sz="8" w:color="FF4400"/>
            </w:tcBorders>
          </w:tcPr>
          <w:p>
            <w:pPr>
              <w:jc w:val="right"/>
              <w:ind w:right="339"/>
              <w:spacing w:after="0"/>
              <w:rPr>
                <w:sz w:val="20"/>
                <w:szCs w:val="20"/>
                <w:color w:val="auto"/>
              </w:rPr>
            </w:pPr>
            <w:r>
              <w:rPr>
                <w:rFonts w:ascii="Arial" w:cs="Arial" w:eastAsia="Arial" w:hAnsi="Arial"/>
                <w:sz w:val="14"/>
                <w:szCs w:val="14"/>
                <w:b w:val="1"/>
                <w:bCs w:val="1"/>
                <w:color w:val="auto"/>
              </w:rPr>
              <w:t>Margin %</w:t>
            </w:r>
          </w:p>
        </w:tc>
        <w:tc>
          <w:tcPr>
            <w:tcW w:w="20" w:type="dxa"/>
            <w:vAlign w:val="bottom"/>
            <w:tcBorders>
              <w:bottom w:val="single" w:sz="8" w:color="FF4400"/>
            </w:tcBorders>
          </w:tcPr>
          <w:p>
            <w:pPr>
              <w:spacing w:after="0"/>
              <w:rPr>
                <w:sz w:val="17"/>
                <w:szCs w:val="17"/>
                <w:color w:val="auto"/>
              </w:rPr>
            </w:pPr>
          </w:p>
        </w:tc>
        <w:tc>
          <w:tcPr>
            <w:tcW w:w="80" w:type="dxa"/>
            <w:vAlign w:val="bottom"/>
            <w:tcBorders>
              <w:bottom w:val="single" w:sz="8" w:color="FF4400"/>
            </w:tcBorders>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1120" w:type="dxa"/>
            <w:vAlign w:val="bottom"/>
            <w:tcBorders>
              <w:bottom w:val="single" w:sz="8" w:color="FF4400"/>
            </w:tcBorders>
          </w:tcPr>
          <w:p>
            <w:pPr>
              <w:jc w:val="right"/>
              <w:ind w:right="402"/>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bottom w:val="single" w:sz="8" w:color="FF4400"/>
            </w:tcBorders>
            <w:gridSpan w:val="2"/>
          </w:tcPr>
          <w:p>
            <w:pPr>
              <w:ind w:left="240"/>
              <w:spacing w:after="0"/>
              <w:rPr>
                <w:sz w:val="20"/>
                <w:szCs w:val="20"/>
                <w:color w:val="auto"/>
              </w:rPr>
            </w:pPr>
            <w:r>
              <w:rPr>
                <w:rFonts w:ascii="Arial" w:cs="Arial" w:eastAsia="Arial" w:hAnsi="Arial"/>
                <w:sz w:val="14"/>
                <w:szCs w:val="14"/>
                <w:b w:val="1"/>
                <w:bCs w:val="1"/>
                <w:color w:val="auto"/>
              </w:rPr>
              <w:t>Margin %</w:t>
            </w:r>
          </w:p>
        </w:tc>
        <w:tc>
          <w:tcPr>
            <w:tcW w:w="240" w:type="dxa"/>
            <w:vAlign w:val="bottom"/>
            <w:tcBorders>
              <w:bottom w:val="single" w:sz="8" w:color="FF4400"/>
            </w:tcBorders>
          </w:tcPr>
          <w:p>
            <w:pPr>
              <w:spacing w:after="0"/>
              <w:rPr>
                <w:sz w:val="17"/>
                <w:szCs w:val="17"/>
                <w:color w:val="auto"/>
              </w:rPr>
            </w:pPr>
          </w:p>
        </w:tc>
        <w:tc>
          <w:tcPr>
            <w:tcW w:w="1220" w:type="dxa"/>
            <w:vAlign w:val="bottom"/>
            <w:tcBorders>
              <w:bottom w:val="single" w:sz="8" w:color="FF4400"/>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FF4400"/>
            </w:tcBorders>
          </w:tcPr>
          <w:p>
            <w:pPr>
              <w:jc w:val="right"/>
              <w:ind w:right="359"/>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184"/>
        </w:trPr>
        <w:tc>
          <w:tcPr>
            <w:tcW w:w="2940" w:type="dxa"/>
            <w:vAlign w:val="bottom"/>
          </w:tcPr>
          <w:p>
            <w:pPr>
              <w:ind w:left="20"/>
              <w:spacing w:after="0" w:line="183" w:lineRule="exact"/>
              <w:rPr>
                <w:sz w:val="20"/>
                <w:szCs w:val="20"/>
                <w:color w:val="auto"/>
              </w:rPr>
            </w:pPr>
            <w:r>
              <w:rPr>
                <w:rFonts w:ascii="Arial" w:cs="Arial" w:eastAsia="Arial" w:hAnsi="Arial"/>
                <w:sz w:val="18"/>
                <w:szCs w:val="18"/>
                <w:color w:val="auto"/>
              </w:rPr>
              <w:t>Segment profit/Segment adjusted</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222"/>
              <w:spacing w:after="0"/>
              <w:rPr>
                <w:sz w:val="20"/>
                <w:szCs w:val="20"/>
                <w:color w:val="auto"/>
              </w:rPr>
            </w:pPr>
            <w:r>
              <w:rPr>
                <w:rFonts w:ascii="Arial" w:cs="Arial" w:eastAsia="Arial" w:hAnsi="Arial"/>
                <w:sz w:val="18"/>
                <w:szCs w:val="18"/>
                <w:color w:val="auto"/>
              </w:rPr>
              <w:t>564</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32 %</w:t>
            </w:r>
          </w:p>
        </w:tc>
        <w:tc>
          <w:tcPr>
            <w:tcW w:w="32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62"/>
              <w:spacing w:after="0"/>
              <w:rPr>
                <w:sz w:val="20"/>
                <w:szCs w:val="20"/>
                <w:color w:val="auto"/>
              </w:rPr>
            </w:pPr>
            <w:r>
              <w:rPr>
                <w:rFonts w:ascii="Arial" w:cs="Arial" w:eastAsia="Arial" w:hAnsi="Arial"/>
                <w:sz w:val="18"/>
                <w:szCs w:val="18"/>
                <w:color w:val="auto"/>
              </w:rPr>
              <w:t>250</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ind w:left="620"/>
              <w:spacing w:after="0"/>
              <w:rPr>
                <w:sz w:val="20"/>
                <w:szCs w:val="20"/>
                <w:color w:val="auto"/>
              </w:rPr>
            </w:pPr>
            <w:r>
              <w:rPr>
                <w:rFonts w:ascii="Arial" w:cs="Arial" w:eastAsia="Arial" w:hAnsi="Arial"/>
                <w:sz w:val="18"/>
                <w:szCs w:val="18"/>
                <w:color w:val="auto"/>
              </w:rPr>
              <w:t>382</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5"/>
        </w:trPr>
        <w:tc>
          <w:tcPr>
            <w:tcW w:w="29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EBIT</w:t>
            </w:r>
          </w:p>
        </w:tc>
        <w:tc>
          <w:tcPr>
            <w:tcW w:w="220" w:type="dxa"/>
            <w:vAlign w:val="bottom"/>
            <w:tcBorders>
              <w:bottom w:val="single" w:sz="8" w:color="BFBFBF"/>
            </w:tcBorders>
            <w:vMerge w:val="continue"/>
          </w:tcPr>
          <w:p>
            <w:pPr>
              <w:spacing w:after="0"/>
              <w:rPr>
                <w:sz w:val="20"/>
                <w:szCs w:val="20"/>
                <w:color w:val="auto"/>
              </w:rPr>
            </w:pPr>
          </w:p>
        </w:tc>
        <w:tc>
          <w:tcPr>
            <w:tcW w:w="1160" w:type="dxa"/>
            <w:vAlign w:val="bottom"/>
            <w:tcBorders>
              <w:bottom w:val="single" w:sz="8" w:color="BFBFBF"/>
            </w:tcBorders>
            <w:vMerge w:val="continue"/>
          </w:tcPr>
          <w:p>
            <w:pPr>
              <w:spacing w:after="0"/>
              <w:rPr>
                <w:sz w:val="20"/>
                <w:szCs w:val="20"/>
                <w:color w:val="auto"/>
              </w:rPr>
            </w:pPr>
          </w:p>
        </w:tc>
        <w:tc>
          <w:tcPr>
            <w:tcW w:w="1360" w:type="dxa"/>
            <w:vAlign w:val="bottom"/>
            <w:tcBorders>
              <w:bottom w:val="single" w:sz="8" w:color="BFBFBF"/>
            </w:tcBorders>
            <w:vMerge w:val="continue"/>
          </w:tcPr>
          <w:p>
            <w:pPr>
              <w:spacing w:after="0"/>
              <w:rPr>
                <w:sz w:val="20"/>
                <w:szCs w:val="20"/>
                <w:color w:val="auto"/>
              </w:rPr>
            </w:pPr>
          </w:p>
        </w:tc>
        <w:tc>
          <w:tcPr>
            <w:tcW w:w="320" w:type="dxa"/>
            <w:vAlign w:val="bottom"/>
            <w:tcBorders>
              <w:bottom w:val="single" w:sz="8" w:color="BFBFBF"/>
            </w:tcBorders>
            <w:gridSpan w:val="3"/>
            <w:vMerge w:val="continue"/>
          </w:tcPr>
          <w:p>
            <w:pPr>
              <w:spacing w:after="0"/>
              <w:rPr>
                <w:sz w:val="20"/>
                <w:szCs w:val="20"/>
                <w:color w:val="auto"/>
              </w:rPr>
            </w:pPr>
          </w:p>
        </w:tc>
        <w:tc>
          <w:tcPr>
            <w:tcW w:w="1120" w:type="dxa"/>
            <w:vAlign w:val="bottom"/>
            <w:tcBorders>
              <w:bottom w:val="single" w:sz="8" w:color="BFBFBF"/>
            </w:tcBorders>
            <w:vMerge w:val="continue"/>
          </w:tcPr>
          <w:p>
            <w:pPr>
              <w:spacing w:after="0"/>
              <w:rPr>
                <w:sz w:val="20"/>
                <w:szCs w:val="20"/>
                <w:color w:val="auto"/>
              </w:rPr>
            </w:pPr>
          </w:p>
        </w:tc>
        <w:tc>
          <w:tcPr>
            <w:tcW w:w="1200" w:type="dxa"/>
            <w:vAlign w:val="bottom"/>
            <w:tcBorders>
              <w:bottom w:val="single" w:sz="8" w:color="BFBFBF"/>
            </w:tcBorders>
            <w:vMerge w:val="continue"/>
          </w:tcPr>
          <w:p>
            <w:pPr>
              <w:spacing w:after="0"/>
              <w:rPr>
                <w:sz w:val="20"/>
                <w:szCs w:val="20"/>
                <w:color w:val="auto"/>
              </w:rPr>
            </w:pPr>
          </w:p>
        </w:tc>
        <w:tc>
          <w:tcPr>
            <w:tcW w:w="80" w:type="dxa"/>
            <w:vAlign w:val="bottom"/>
            <w:tcBorders>
              <w:bottom w:val="single" w:sz="8" w:color="BFBFBF"/>
            </w:tcBorders>
          </w:tcPr>
          <w:p>
            <w:pPr>
              <w:spacing w:after="0"/>
              <w:rPr>
                <w:sz w:val="20"/>
                <w:szCs w:val="20"/>
                <w:color w:val="auto"/>
              </w:rPr>
            </w:pPr>
          </w:p>
        </w:tc>
        <w:tc>
          <w:tcPr>
            <w:tcW w:w="240" w:type="dxa"/>
            <w:vAlign w:val="bottom"/>
            <w:tcBorders>
              <w:bottom w:val="single" w:sz="8" w:color="BFBFBF"/>
            </w:tcBorders>
            <w:vMerge w:val="continue"/>
          </w:tcPr>
          <w:p>
            <w:pPr>
              <w:spacing w:after="0"/>
              <w:rPr>
                <w:sz w:val="20"/>
                <w:szCs w:val="20"/>
                <w:color w:val="auto"/>
              </w:rPr>
            </w:pPr>
          </w:p>
        </w:tc>
        <w:tc>
          <w:tcPr>
            <w:tcW w:w="1220" w:type="dxa"/>
            <w:vAlign w:val="bottom"/>
            <w:tcBorders>
              <w:bottom w:val="single" w:sz="8" w:color="BFBFBF"/>
            </w:tcBorders>
            <w:vMerge w:val="continue"/>
          </w:tcPr>
          <w:p>
            <w:pPr>
              <w:spacing w:after="0"/>
              <w:rPr>
                <w:sz w:val="20"/>
                <w:szCs w:val="20"/>
                <w:color w:val="auto"/>
              </w:rPr>
            </w:pPr>
          </w:p>
        </w:tc>
        <w:tc>
          <w:tcPr>
            <w:tcW w:w="1380" w:type="dxa"/>
            <w:vAlign w:val="bottom"/>
            <w:tcBorders>
              <w:bottom w:val="single" w:sz="8" w:color="BFBFB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2940" w:type="dxa"/>
            <w:vAlign w:val="bottom"/>
          </w:tcPr>
          <w:p>
            <w:pPr>
              <w:spacing w:after="0"/>
              <w:rPr>
                <w:sz w:val="24"/>
                <w:szCs w:val="24"/>
                <w:color w:val="auto"/>
              </w:rPr>
            </w:pPr>
          </w:p>
        </w:tc>
        <w:tc>
          <w:tcPr>
            <w:tcW w:w="220" w:type="dxa"/>
            <w:vAlign w:val="bottom"/>
            <w:tcBorders>
              <w:bottom w:val="single" w:sz="8" w:color="FF4400"/>
            </w:tcBorders>
          </w:tcPr>
          <w:p>
            <w:pPr>
              <w:spacing w:after="0"/>
              <w:rPr>
                <w:sz w:val="24"/>
                <w:szCs w:val="24"/>
                <w:color w:val="auto"/>
              </w:rPr>
            </w:pPr>
          </w:p>
        </w:tc>
        <w:tc>
          <w:tcPr>
            <w:tcW w:w="1160" w:type="dxa"/>
            <w:vAlign w:val="bottom"/>
            <w:tcBorders>
              <w:bottom w:val="single" w:sz="8" w:color="FF4400"/>
            </w:tcBorders>
          </w:tcPr>
          <w:p>
            <w:pPr>
              <w:spacing w:after="0"/>
              <w:rPr>
                <w:sz w:val="24"/>
                <w:szCs w:val="24"/>
                <w:color w:val="auto"/>
              </w:rPr>
            </w:pPr>
          </w:p>
        </w:tc>
        <w:tc>
          <w:tcPr>
            <w:tcW w:w="1360" w:type="dxa"/>
            <w:vAlign w:val="bottom"/>
            <w:tcBorders>
              <w:bottom w:val="single" w:sz="8" w:color="FF4400"/>
            </w:tcBorders>
          </w:tcPr>
          <w:p>
            <w:pPr>
              <w:spacing w:after="0"/>
              <w:rPr>
                <w:sz w:val="24"/>
                <w:szCs w:val="24"/>
                <w:color w:val="auto"/>
              </w:rPr>
            </w:pPr>
          </w:p>
        </w:tc>
        <w:tc>
          <w:tcPr>
            <w:tcW w:w="2960" w:type="dxa"/>
            <w:vAlign w:val="bottom"/>
            <w:tcBorders>
              <w:bottom w:val="single" w:sz="8" w:color="FF4400"/>
            </w:tcBorders>
            <w:gridSpan w:val="7"/>
          </w:tcPr>
          <w:p>
            <w:pPr>
              <w:jc w:val="right"/>
              <w:ind w:right="50"/>
              <w:spacing w:after="0"/>
              <w:rPr>
                <w:sz w:val="20"/>
                <w:szCs w:val="20"/>
                <w:color w:val="auto"/>
              </w:rPr>
            </w:pPr>
            <w:r>
              <w:rPr>
                <w:rFonts w:ascii="Arial" w:cs="Arial" w:eastAsia="Arial" w:hAnsi="Arial"/>
                <w:sz w:val="14"/>
                <w:szCs w:val="14"/>
                <w:b w:val="1"/>
                <w:bCs w:val="1"/>
                <w:color w:val="auto"/>
              </w:rPr>
              <w:t>Three Months Ended September 27, 2025</w:t>
            </w:r>
          </w:p>
        </w:tc>
        <w:tc>
          <w:tcPr>
            <w:tcW w:w="1220" w:type="dxa"/>
            <w:vAlign w:val="bottom"/>
            <w:tcBorders>
              <w:bottom w:val="single" w:sz="8" w:color="FF4400"/>
            </w:tcBorders>
          </w:tcPr>
          <w:p>
            <w:pPr>
              <w:spacing w:after="0"/>
              <w:rPr>
                <w:sz w:val="24"/>
                <w:szCs w:val="24"/>
                <w:color w:val="auto"/>
              </w:rPr>
            </w:pPr>
          </w:p>
        </w:tc>
        <w:tc>
          <w:tcPr>
            <w:tcW w:w="1380" w:type="dxa"/>
            <w:vAlign w:val="bottom"/>
            <w:tcBorders>
              <w:bottom w:val="single" w:sz="8" w:color="FF440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2520" w:type="dxa"/>
            <w:vAlign w:val="bottom"/>
            <w:tcBorders>
              <w:bottom w:val="single" w:sz="8" w:color="FF4400"/>
            </w:tcBorders>
            <w:gridSpan w:val="2"/>
          </w:tcPr>
          <w:p>
            <w:pPr>
              <w:jc w:val="right"/>
              <w:ind w:right="599"/>
              <w:spacing w:after="0"/>
              <w:rPr>
                <w:sz w:val="20"/>
                <w:szCs w:val="20"/>
                <w:color w:val="auto"/>
              </w:rPr>
            </w:pPr>
            <w:r>
              <w:rPr>
                <w:rFonts w:ascii="Arial" w:cs="Arial" w:eastAsia="Arial" w:hAnsi="Arial"/>
                <w:sz w:val="14"/>
                <w:szCs w:val="14"/>
                <w:b w:val="1"/>
                <w:bCs w:val="1"/>
                <w:color w:val="auto"/>
              </w:rPr>
              <w:t>Electronic Solutions</w:t>
            </w:r>
          </w:p>
        </w:tc>
        <w:tc>
          <w:tcPr>
            <w:tcW w:w="20" w:type="dxa"/>
            <w:vAlign w:val="bottom"/>
            <w:tcBorders>
              <w:bottom w:val="single" w:sz="8" w:color="FF4400"/>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2320" w:type="dxa"/>
            <w:vAlign w:val="bottom"/>
            <w:tcBorders>
              <w:bottom w:val="single" w:sz="8" w:color="FF4400"/>
            </w:tcBorders>
            <w:gridSpan w:val="2"/>
          </w:tcPr>
          <w:p>
            <w:pPr>
              <w:jc w:val="right"/>
              <w:ind w:right="279"/>
              <w:spacing w:after="0"/>
              <w:rPr>
                <w:sz w:val="20"/>
                <w:szCs w:val="20"/>
                <w:color w:val="auto"/>
              </w:rPr>
            </w:pPr>
            <w:r>
              <w:rPr>
                <w:rFonts w:ascii="Arial" w:cs="Arial" w:eastAsia="Arial" w:hAnsi="Arial"/>
                <w:sz w:val="14"/>
                <w:szCs w:val="14"/>
                <w:b w:val="1"/>
                <w:bCs w:val="1"/>
                <w:color w:val="auto"/>
              </w:rPr>
              <w:t>Engines &amp; Power Systems</w:t>
            </w:r>
          </w:p>
        </w:tc>
        <w:tc>
          <w:tcPr>
            <w:tcW w:w="80" w:type="dxa"/>
            <w:vAlign w:val="bottom"/>
          </w:tcPr>
          <w:p>
            <w:pPr>
              <w:spacing w:after="0"/>
              <w:rPr>
                <w:sz w:val="17"/>
                <w:szCs w:val="17"/>
                <w:color w:val="auto"/>
              </w:rPr>
            </w:pPr>
          </w:p>
        </w:tc>
        <w:tc>
          <w:tcPr>
            <w:tcW w:w="240" w:type="dxa"/>
            <w:vAlign w:val="bottom"/>
            <w:tcBorders>
              <w:bottom w:val="single" w:sz="8" w:color="FF4400"/>
            </w:tcBorders>
          </w:tcPr>
          <w:p>
            <w:pPr>
              <w:spacing w:after="0"/>
              <w:rPr>
                <w:sz w:val="17"/>
                <w:szCs w:val="17"/>
                <w:color w:val="auto"/>
              </w:rPr>
            </w:pPr>
          </w:p>
        </w:tc>
        <w:tc>
          <w:tcPr>
            <w:tcW w:w="2600" w:type="dxa"/>
            <w:vAlign w:val="bottom"/>
            <w:tcBorders>
              <w:bottom w:val="single" w:sz="8" w:color="FF4400"/>
            </w:tcBorders>
            <w:gridSpan w:val="2"/>
          </w:tcPr>
          <w:p>
            <w:pPr>
              <w:ind w:left="620"/>
              <w:spacing w:after="0"/>
              <w:rPr>
                <w:sz w:val="20"/>
                <w:szCs w:val="20"/>
                <w:color w:val="auto"/>
              </w:rPr>
            </w:pPr>
            <w:r>
              <w:rPr>
                <w:rFonts w:ascii="Arial" w:cs="Arial" w:eastAsia="Arial" w:hAnsi="Arial"/>
                <w:sz w:val="14"/>
                <w:szCs w:val="14"/>
                <w:b w:val="1"/>
                <w:bCs w:val="1"/>
                <w:color w:val="auto"/>
              </w:rPr>
              <w:t>Control Systems</w:t>
            </w:r>
          </w:p>
        </w:tc>
        <w:tc>
          <w:tcPr>
            <w:tcW w:w="0" w:type="dxa"/>
            <w:vAlign w:val="bottom"/>
          </w:tcPr>
          <w:p>
            <w:pPr>
              <w:spacing w:after="0"/>
              <w:rPr>
                <w:sz w:val="1"/>
                <w:szCs w:val="1"/>
                <w:color w:val="auto"/>
              </w:rPr>
            </w:pPr>
          </w:p>
        </w:tc>
      </w:tr>
      <w:tr>
        <w:trPr>
          <w:trHeight w:val="204"/>
        </w:trPr>
        <w:tc>
          <w:tcPr>
            <w:tcW w:w="2940" w:type="dxa"/>
            <w:vAlign w:val="bottom"/>
            <w:tcBorders>
              <w:bottom w:val="single" w:sz="8" w:color="FF4400"/>
            </w:tcBorders>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1160" w:type="dxa"/>
            <w:vAlign w:val="bottom"/>
            <w:tcBorders>
              <w:bottom w:val="single" w:sz="8" w:color="FF4400"/>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bottom w:val="single" w:sz="8" w:color="FF4400"/>
            </w:tcBorders>
          </w:tcPr>
          <w:p>
            <w:pPr>
              <w:jc w:val="right"/>
              <w:ind w:right="339"/>
              <w:spacing w:after="0"/>
              <w:rPr>
                <w:sz w:val="20"/>
                <w:szCs w:val="20"/>
                <w:color w:val="auto"/>
              </w:rPr>
            </w:pPr>
            <w:r>
              <w:rPr>
                <w:rFonts w:ascii="Arial" w:cs="Arial" w:eastAsia="Arial" w:hAnsi="Arial"/>
                <w:sz w:val="14"/>
                <w:szCs w:val="14"/>
                <w:b w:val="1"/>
                <w:bCs w:val="1"/>
                <w:color w:val="auto"/>
              </w:rPr>
              <w:t>Margin %</w:t>
            </w:r>
          </w:p>
        </w:tc>
        <w:tc>
          <w:tcPr>
            <w:tcW w:w="20" w:type="dxa"/>
            <w:vAlign w:val="bottom"/>
            <w:tcBorders>
              <w:bottom w:val="single" w:sz="8" w:color="FF4400"/>
            </w:tcBorders>
          </w:tcPr>
          <w:p>
            <w:pPr>
              <w:spacing w:after="0"/>
              <w:rPr>
                <w:sz w:val="17"/>
                <w:szCs w:val="17"/>
                <w:color w:val="auto"/>
              </w:rPr>
            </w:pPr>
          </w:p>
        </w:tc>
        <w:tc>
          <w:tcPr>
            <w:tcW w:w="80" w:type="dxa"/>
            <w:vAlign w:val="bottom"/>
            <w:tcBorders>
              <w:bottom w:val="single" w:sz="8" w:color="FF4400"/>
            </w:tcBorders>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1120" w:type="dxa"/>
            <w:vAlign w:val="bottom"/>
            <w:tcBorders>
              <w:bottom w:val="single" w:sz="8" w:color="FF4400"/>
            </w:tcBorders>
          </w:tcPr>
          <w:p>
            <w:pPr>
              <w:jc w:val="right"/>
              <w:ind w:right="402"/>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bottom w:val="single" w:sz="8" w:color="FF4400"/>
            </w:tcBorders>
            <w:gridSpan w:val="2"/>
          </w:tcPr>
          <w:p>
            <w:pPr>
              <w:ind w:left="240"/>
              <w:spacing w:after="0"/>
              <w:rPr>
                <w:sz w:val="20"/>
                <w:szCs w:val="20"/>
                <w:color w:val="auto"/>
              </w:rPr>
            </w:pPr>
            <w:r>
              <w:rPr>
                <w:rFonts w:ascii="Arial" w:cs="Arial" w:eastAsia="Arial" w:hAnsi="Arial"/>
                <w:sz w:val="14"/>
                <w:szCs w:val="14"/>
                <w:b w:val="1"/>
                <w:bCs w:val="1"/>
                <w:color w:val="auto"/>
              </w:rPr>
              <w:t>Margin %</w:t>
            </w:r>
          </w:p>
        </w:tc>
        <w:tc>
          <w:tcPr>
            <w:tcW w:w="240" w:type="dxa"/>
            <w:vAlign w:val="bottom"/>
            <w:tcBorders>
              <w:bottom w:val="single" w:sz="8" w:color="FF4400"/>
            </w:tcBorders>
          </w:tcPr>
          <w:p>
            <w:pPr>
              <w:spacing w:after="0"/>
              <w:rPr>
                <w:sz w:val="17"/>
                <w:szCs w:val="17"/>
                <w:color w:val="auto"/>
              </w:rPr>
            </w:pPr>
          </w:p>
        </w:tc>
        <w:tc>
          <w:tcPr>
            <w:tcW w:w="1220" w:type="dxa"/>
            <w:vAlign w:val="bottom"/>
            <w:tcBorders>
              <w:bottom w:val="single" w:sz="8" w:color="FF4400"/>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FF4400"/>
            </w:tcBorders>
          </w:tcPr>
          <w:p>
            <w:pPr>
              <w:jc w:val="right"/>
              <w:ind w:right="359"/>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175"/>
        </w:trPr>
        <w:tc>
          <w:tcPr>
            <w:tcW w:w="2940" w:type="dxa"/>
            <w:vAlign w:val="bottom"/>
          </w:tcPr>
          <w:p>
            <w:pPr>
              <w:ind w:left="20"/>
              <w:spacing w:after="0" w:line="176" w:lineRule="exact"/>
              <w:rPr>
                <w:sz w:val="20"/>
                <w:szCs w:val="20"/>
                <w:color w:val="auto"/>
              </w:rPr>
            </w:pPr>
            <w:r>
              <w:rPr>
                <w:rFonts w:ascii="Arial" w:cs="Arial" w:eastAsia="Arial" w:hAnsi="Arial"/>
                <w:sz w:val="18"/>
                <w:szCs w:val="18"/>
                <w:color w:val="auto"/>
              </w:rPr>
              <w:t>Segment profit/Segment adjusted</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222"/>
              <w:spacing w:after="0"/>
              <w:rPr>
                <w:sz w:val="20"/>
                <w:szCs w:val="20"/>
                <w:color w:val="auto"/>
              </w:rPr>
            </w:pPr>
            <w:r>
              <w:rPr>
                <w:rFonts w:ascii="Arial" w:cs="Arial" w:eastAsia="Arial" w:hAnsi="Arial"/>
                <w:sz w:val="18"/>
                <w:szCs w:val="18"/>
                <w:color w:val="auto"/>
              </w:rPr>
              <w:t>510</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30 %</w:t>
            </w:r>
          </w:p>
        </w:tc>
        <w:tc>
          <w:tcPr>
            <w:tcW w:w="32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62"/>
              <w:spacing w:after="0"/>
              <w:rPr>
                <w:sz w:val="20"/>
                <w:szCs w:val="20"/>
                <w:color w:val="auto"/>
              </w:rPr>
            </w:pPr>
            <w:r>
              <w:rPr>
                <w:rFonts w:ascii="Arial" w:cs="Arial" w:eastAsia="Arial" w:hAnsi="Arial"/>
                <w:sz w:val="18"/>
                <w:szCs w:val="18"/>
                <w:color w:val="auto"/>
              </w:rPr>
              <w:t>299</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ind w:left="620"/>
              <w:spacing w:after="0"/>
              <w:rPr>
                <w:sz w:val="20"/>
                <w:szCs w:val="20"/>
                <w:color w:val="auto"/>
              </w:rPr>
            </w:pPr>
            <w:r>
              <w:rPr>
                <w:rFonts w:ascii="Arial" w:cs="Arial" w:eastAsia="Arial" w:hAnsi="Arial"/>
                <w:sz w:val="18"/>
                <w:szCs w:val="18"/>
                <w:color w:val="auto"/>
              </w:rPr>
              <w:t>376</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29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EBIT</w:t>
            </w:r>
          </w:p>
        </w:tc>
        <w:tc>
          <w:tcPr>
            <w:tcW w:w="220" w:type="dxa"/>
            <w:vAlign w:val="bottom"/>
            <w:tcBorders>
              <w:bottom w:val="single" w:sz="8" w:color="BFBFBF"/>
            </w:tcBorders>
            <w:vMerge w:val="continue"/>
          </w:tcPr>
          <w:p>
            <w:pPr>
              <w:spacing w:after="0"/>
              <w:rPr>
                <w:sz w:val="21"/>
                <w:szCs w:val="21"/>
                <w:color w:val="auto"/>
              </w:rPr>
            </w:pPr>
          </w:p>
        </w:tc>
        <w:tc>
          <w:tcPr>
            <w:tcW w:w="1160" w:type="dxa"/>
            <w:vAlign w:val="bottom"/>
            <w:tcBorders>
              <w:bottom w:val="single" w:sz="8" w:color="BFBFBF"/>
            </w:tcBorders>
            <w:vMerge w:val="continue"/>
          </w:tcPr>
          <w:p>
            <w:pPr>
              <w:spacing w:after="0"/>
              <w:rPr>
                <w:sz w:val="21"/>
                <w:szCs w:val="21"/>
                <w:color w:val="auto"/>
              </w:rPr>
            </w:pPr>
          </w:p>
        </w:tc>
        <w:tc>
          <w:tcPr>
            <w:tcW w:w="1360" w:type="dxa"/>
            <w:vAlign w:val="bottom"/>
            <w:tcBorders>
              <w:bottom w:val="single" w:sz="8" w:color="BFBFBF"/>
            </w:tcBorders>
            <w:vMerge w:val="continue"/>
          </w:tcPr>
          <w:p>
            <w:pPr>
              <w:spacing w:after="0"/>
              <w:rPr>
                <w:sz w:val="21"/>
                <w:szCs w:val="21"/>
                <w:color w:val="auto"/>
              </w:rPr>
            </w:pPr>
          </w:p>
        </w:tc>
        <w:tc>
          <w:tcPr>
            <w:tcW w:w="320" w:type="dxa"/>
            <w:vAlign w:val="bottom"/>
            <w:tcBorders>
              <w:bottom w:val="single" w:sz="8" w:color="BFBFBF"/>
            </w:tcBorders>
            <w:gridSpan w:val="3"/>
            <w:vMerge w:val="continue"/>
          </w:tcPr>
          <w:p>
            <w:pPr>
              <w:spacing w:after="0"/>
              <w:rPr>
                <w:sz w:val="21"/>
                <w:szCs w:val="21"/>
                <w:color w:val="auto"/>
              </w:rPr>
            </w:pPr>
          </w:p>
        </w:tc>
        <w:tc>
          <w:tcPr>
            <w:tcW w:w="1120" w:type="dxa"/>
            <w:vAlign w:val="bottom"/>
            <w:tcBorders>
              <w:bottom w:val="single" w:sz="8" w:color="BFBFBF"/>
            </w:tcBorders>
            <w:vMerge w:val="continue"/>
          </w:tcPr>
          <w:p>
            <w:pPr>
              <w:spacing w:after="0"/>
              <w:rPr>
                <w:sz w:val="21"/>
                <w:szCs w:val="21"/>
                <w:color w:val="auto"/>
              </w:rPr>
            </w:pPr>
          </w:p>
        </w:tc>
        <w:tc>
          <w:tcPr>
            <w:tcW w:w="1200" w:type="dxa"/>
            <w:vAlign w:val="bottom"/>
            <w:tcBorders>
              <w:bottom w:val="single" w:sz="8" w:color="BFBFBF"/>
            </w:tcBorders>
            <w:vMerge w:val="continue"/>
          </w:tcPr>
          <w:p>
            <w:pPr>
              <w:spacing w:after="0"/>
              <w:rPr>
                <w:sz w:val="21"/>
                <w:szCs w:val="21"/>
                <w:color w:val="auto"/>
              </w:rPr>
            </w:pPr>
          </w:p>
        </w:tc>
        <w:tc>
          <w:tcPr>
            <w:tcW w:w="80" w:type="dxa"/>
            <w:vAlign w:val="bottom"/>
            <w:tcBorders>
              <w:bottom w:val="single" w:sz="8" w:color="BFBFBF"/>
            </w:tcBorders>
          </w:tcPr>
          <w:p>
            <w:pPr>
              <w:spacing w:after="0"/>
              <w:rPr>
                <w:sz w:val="21"/>
                <w:szCs w:val="21"/>
                <w:color w:val="auto"/>
              </w:rPr>
            </w:pPr>
          </w:p>
        </w:tc>
        <w:tc>
          <w:tcPr>
            <w:tcW w:w="240" w:type="dxa"/>
            <w:vAlign w:val="bottom"/>
            <w:tcBorders>
              <w:bottom w:val="single" w:sz="8" w:color="BFBFBF"/>
            </w:tcBorders>
            <w:vMerge w:val="continue"/>
          </w:tcPr>
          <w:p>
            <w:pPr>
              <w:spacing w:after="0"/>
              <w:rPr>
                <w:sz w:val="21"/>
                <w:szCs w:val="21"/>
                <w:color w:val="auto"/>
              </w:rPr>
            </w:pPr>
          </w:p>
        </w:tc>
        <w:tc>
          <w:tcPr>
            <w:tcW w:w="1220" w:type="dxa"/>
            <w:vAlign w:val="bottom"/>
            <w:tcBorders>
              <w:bottom w:val="single" w:sz="8" w:color="BFBFBF"/>
            </w:tcBorders>
            <w:vMerge w:val="continue"/>
          </w:tcPr>
          <w:p>
            <w:pPr>
              <w:spacing w:after="0"/>
              <w:rPr>
                <w:sz w:val="21"/>
                <w:szCs w:val="21"/>
                <w:color w:val="auto"/>
              </w:rPr>
            </w:pPr>
          </w:p>
        </w:tc>
        <w:tc>
          <w:tcPr>
            <w:tcW w:w="1380" w:type="dxa"/>
            <w:vAlign w:val="bottom"/>
            <w:tcBorders>
              <w:bottom w:val="single" w:sz="8" w:color="BFBFBF"/>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0" w:name="page51"/>
    <w:bookmarkEnd w:id="50"/>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1000" w:type="dxa"/>
            <w:vAlign w:val="bottom"/>
            <w:tcBorders>
              <w:bottom w:val="single" w:sz="8" w:color="FF4400"/>
            </w:tcBorders>
          </w:tcPr>
          <w:p>
            <w:pPr>
              <w:spacing w:after="0"/>
              <w:rPr>
                <w:sz w:val="17"/>
                <w:szCs w:val="17"/>
                <w:color w:val="auto"/>
              </w:rPr>
            </w:pPr>
          </w:p>
        </w:tc>
        <w:tc>
          <w:tcPr>
            <w:tcW w:w="2720" w:type="dxa"/>
            <w:vAlign w:val="bottom"/>
            <w:tcBorders>
              <w:bottom w:val="single" w:sz="8" w:color="FF4400"/>
            </w:tcBorders>
            <w:gridSpan w:val="4"/>
          </w:tcPr>
          <w:p>
            <w:pPr>
              <w:jc w:val="right"/>
              <w:ind w:right="513"/>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tcBorders>
              <w:bottom w:val="single" w:sz="8" w:color="FF4400"/>
            </w:tcBorders>
          </w:tcPr>
          <w:p>
            <w:pPr>
              <w:spacing w:after="0"/>
              <w:rPr>
                <w:sz w:val="17"/>
                <w:szCs w:val="17"/>
                <w:color w:val="auto"/>
              </w:rPr>
            </w:pPr>
          </w:p>
        </w:tc>
      </w:tr>
      <w:tr>
        <w:trPr>
          <w:trHeight w:val="204"/>
        </w:trPr>
        <w:tc>
          <w:tcPr>
            <w:tcW w:w="590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2400" w:type="dxa"/>
            <w:vAlign w:val="bottom"/>
            <w:tcBorders>
              <w:bottom w:val="single" w:sz="8" w:color="FF4400"/>
            </w:tcBorders>
            <w:gridSpan w:val="2"/>
          </w:tcPr>
          <w:p>
            <w:pPr>
              <w:jc w:val="right"/>
              <w:ind w:right="554"/>
              <w:spacing w:after="0"/>
              <w:rPr>
                <w:sz w:val="20"/>
                <w:szCs w:val="20"/>
                <w:color w:val="auto"/>
              </w:rPr>
            </w:pPr>
            <w:r>
              <w:rPr>
                <w:rFonts w:ascii="Arial" w:cs="Arial" w:eastAsia="Arial" w:hAnsi="Arial"/>
                <w:sz w:val="14"/>
                <w:szCs w:val="14"/>
                <w:b w:val="1"/>
                <w:bCs w:val="1"/>
                <w:color w:val="auto"/>
              </w:rPr>
              <w:t>September 26, 2026</w:t>
            </w:r>
          </w:p>
        </w:tc>
        <w:tc>
          <w:tcPr>
            <w:tcW w:w="10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2400" w:type="dxa"/>
            <w:vAlign w:val="bottom"/>
            <w:tcBorders>
              <w:bottom w:val="single" w:sz="8" w:color="FF4400"/>
            </w:tcBorders>
            <w:gridSpan w:val="2"/>
          </w:tcPr>
          <w:p>
            <w:pPr>
              <w:jc w:val="right"/>
              <w:ind w:right="553"/>
              <w:spacing w:after="0"/>
              <w:rPr>
                <w:sz w:val="20"/>
                <w:szCs w:val="20"/>
                <w:color w:val="auto"/>
              </w:rPr>
            </w:pPr>
            <w:r>
              <w:rPr>
                <w:rFonts w:ascii="Arial" w:cs="Arial" w:eastAsia="Arial" w:hAnsi="Arial"/>
                <w:sz w:val="14"/>
                <w:szCs w:val="14"/>
                <w:b w:val="1"/>
                <w:bCs w:val="1"/>
                <w:color w:val="auto"/>
              </w:rPr>
              <w:t>September 27, 2025</w:t>
            </w:r>
          </w:p>
        </w:tc>
      </w:tr>
      <w:tr>
        <w:trPr>
          <w:trHeight w:val="166"/>
        </w:trPr>
        <w:tc>
          <w:tcPr>
            <w:tcW w:w="5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Percentage of Net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Percentage of Net</w:t>
            </w:r>
          </w:p>
        </w:tc>
      </w:tr>
      <w:tr>
        <w:trPr>
          <w:trHeight w:val="205"/>
        </w:trPr>
        <w:tc>
          <w:tcPr>
            <w:tcW w:w="5900" w:type="dxa"/>
            <w:vAlign w:val="bottom"/>
            <w:tcBorders>
              <w:bottom w:val="single" w:sz="8" w:color="FF4400"/>
            </w:tcBorders>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1000" w:type="dxa"/>
            <w:vAlign w:val="bottom"/>
            <w:tcBorders>
              <w:bottom w:val="single" w:sz="8" w:color="FF4400"/>
            </w:tcBorders>
          </w:tcPr>
          <w:p>
            <w:pPr>
              <w:jc w:val="right"/>
              <w:ind w:right="273"/>
              <w:spacing w:after="0"/>
              <w:rPr>
                <w:sz w:val="20"/>
                <w:szCs w:val="20"/>
                <w:color w:val="auto"/>
              </w:rPr>
            </w:pPr>
            <w:r>
              <w:rPr>
                <w:rFonts w:ascii="Arial" w:cs="Arial" w:eastAsia="Arial" w:hAnsi="Arial"/>
                <w:sz w:val="14"/>
                <w:szCs w:val="14"/>
                <w:b w:val="1"/>
                <w:bCs w:val="1"/>
                <w:color w:val="auto"/>
              </w:rPr>
              <w:t>Amount</w:t>
            </w:r>
          </w:p>
        </w:tc>
        <w:tc>
          <w:tcPr>
            <w:tcW w:w="1500" w:type="dxa"/>
            <w:vAlign w:val="bottom"/>
            <w:tcBorders>
              <w:bottom w:val="single" w:sz="8" w:color="FF4400"/>
            </w:tcBorders>
            <w:gridSpan w:val="2"/>
          </w:tcPr>
          <w:p>
            <w:pPr>
              <w:jc w:val="center"/>
              <w:ind w:right="60"/>
              <w:spacing w:after="0"/>
              <w:rPr>
                <w:sz w:val="20"/>
                <w:szCs w:val="20"/>
                <w:color w:val="auto"/>
              </w:rPr>
            </w:pPr>
            <w:r>
              <w:rPr>
                <w:rFonts w:ascii="Arial" w:cs="Arial" w:eastAsia="Arial" w:hAnsi="Arial"/>
                <w:sz w:val="14"/>
                <w:szCs w:val="14"/>
                <w:b w:val="1"/>
                <w:bCs w:val="1"/>
                <w:color w:val="auto"/>
                <w:w w:val="98"/>
              </w:rPr>
              <w:t>Sales</w:t>
            </w:r>
          </w:p>
        </w:tc>
        <w:tc>
          <w:tcPr>
            <w:tcW w:w="220" w:type="dxa"/>
            <w:vAlign w:val="bottom"/>
            <w:tcBorders>
              <w:bottom w:val="single" w:sz="8" w:color="FF4400"/>
            </w:tcBorders>
          </w:tcPr>
          <w:p>
            <w:pPr>
              <w:spacing w:after="0"/>
              <w:rPr>
                <w:sz w:val="17"/>
                <w:szCs w:val="17"/>
                <w:color w:val="auto"/>
              </w:rPr>
            </w:pPr>
          </w:p>
        </w:tc>
        <w:tc>
          <w:tcPr>
            <w:tcW w:w="1000" w:type="dxa"/>
            <w:vAlign w:val="bottom"/>
            <w:tcBorders>
              <w:bottom w:val="single" w:sz="8" w:color="FF4400"/>
            </w:tcBorders>
          </w:tcPr>
          <w:p>
            <w:pPr>
              <w:jc w:val="right"/>
              <w:ind w:right="293"/>
              <w:spacing w:after="0"/>
              <w:rPr>
                <w:sz w:val="20"/>
                <w:szCs w:val="20"/>
                <w:color w:val="auto"/>
              </w:rPr>
            </w:pPr>
            <w:r>
              <w:rPr>
                <w:rFonts w:ascii="Arial" w:cs="Arial" w:eastAsia="Arial" w:hAnsi="Arial"/>
                <w:sz w:val="14"/>
                <w:szCs w:val="14"/>
                <w:b w:val="1"/>
                <w:bCs w:val="1"/>
                <w:color w:val="auto"/>
              </w:rPr>
              <w:t>Amount</w:t>
            </w:r>
          </w:p>
        </w:tc>
        <w:tc>
          <w:tcPr>
            <w:tcW w:w="1400" w:type="dxa"/>
            <w:vAlign w:val="bottom"/>
            <w:tcBorders>
              <w:bottom w:val="single" w:sz="8" w:color="FF4400"/>
            </w:tcBorders>
          </w:tcPr>
          <w:p>
            <w:pPr>
              <w:jc w:val="right"/>
              <w:ind w:right="413"/>
              <w:spacing w:after="0"/>
              <w:rPr>
                <w:sz w:val="20"/>
                <w:szCs w:val="20"/>
                <w:color w:val="auto"/>
              </w:rPr>
            </w:pPr>
            <w:r>
              <w:rPr>
                <w:rFonts w:ascii="Arial" w:cs="Arial" w:eastAsia="Arial" w:hAnsi="Arial"/>
                <w:sz w:val="14"/>
                <w:szCs w:val="14"/>
                <w:b w:val="1"/>
                <w:bCs w:val="1"/>
                <w:color w:val="auto"/>
              </w:rPr>
              <w:t>Sales</w:t>
            </w:r>
          </w:p>
        </w:tc>
      </w:tr>
      <w:tr>
        <w:trPr>
          <w:trHeight w:val="256"/>
        </w:trPr>
        <w:tc>
          <w:tcPr>
            <w:tcW w:w="590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b w:val="1"/>
                <w:bCs w:val="1"/>
                <w:color w:val="auto"/>
              </w:rPr>
              <w:t>1,635</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tcBorders>
              <w:bottom w:val="single" w:sz="8" w:color="BFBFBF"/>
            </w:tcBorders>
          </w:tcPr>
          <w:p>
            <w:pPr>
              <w:spacing w:after="0"/>
              <w:rPr>
                <w:sz w:val="22"/>
                <w:szCs w:val="22"/>
                <w:color w:val="auto"/>
              </w:rPr>
            </w:pPr>
          </w:p>
        </w:tc>
        <w:tc>
          <w:tcPr>
            <w:tcW w:w="22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b w:val="1"/>
                <w:bCs w:val="1"/>
                <w:color w:val="auto"/>
              </w:rPr>
              <w:t>2,292</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rPr>
              <w:t>18 %</w:t>
            </w:r>
          </w:p>
        </w:tc>
      </w:tr>
      <w:tr>
        <w:trPr>
          <w:trHeight w:val="250"/>
        </w:trPr>
        <w:tc>
          <w:tcPr>
            <w:tcW w:w="59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444</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BFBFBF"/>
            </w:tcBorders>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382</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3 %</w:t>
            </w:r>
          </w:p>
        </w:tc>
      </w:tr>
      <w:tr>
        <w:trPr>
          <w:trHeight w:val="250"/>
        </w:trPr>
        <w:tc>
          <w:tcPr>
            <w:tcW w:w="5900" w:type="dxa"/>
            <w:vAlign w:val="bottom"/>
            <w:tcBorders>
              <w:bottom w:val="single" w:sz="8" w:color="BFBFBF"/>
            </w:tcBorders>
          </w:tcPr>
          <w:p>
            <w:pPr>
              <w:ind w:left="20"/>
              <w:spacing w:after="0" w:line="250" w:lineRule="exact"/>
              <w:rPr>
                <w:sz w:val="20"/>
                <w:szCs w:val="20"/>
                <w:color w:val="auto"/>
              </w:rPr>
            </w:pPr>
            <w:r>
              <w:rPr>
                <w:rFonts w:ascii="Arial" w:cs="Arial" w:eastAsia="Arial" w:hAnsi="Arial"/>
                <w:sz w:val="18"/>
                <w:szCs w:val="18"/>
                <w:color w:val="auto"/>
              </w:rPr>
              <w:t>Amortization of acquisition-related intangibles</w:t>
            </w:r>
            <w:r>
              <w:rPr>
                <w:rFonts w:ascii="Arial" w:cs="Arial" w:eastAsia="Arial" w:hAnsi="Arial"/>
                <w:sz w:val="23"/>
                <w:szCs w:val="23"/>
                <w:color w:val="auto"/>
                <w:vertAlign w:val="superscript"/>
              </w:rPr>
              <w:t>(1)</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72</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BFBFBF"/>
            </w:tcBorders>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37</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900" w:type="dxa"/>
            <w:vAlign w:val="bottom"/>
            <w:tcBorders>
              <w:bottom w:val="single" w:sz="8" w:color="BFBFBF"/>
            </w:tcBorders>
          </w:tcPr>
          <w:p>
            <w:pPr>
              <w:ind w:left="20"/>
              <w:spacing w:after="0" w:line="250"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3"/>
                <w:szCs w:val="23"/>
                <w:color w:val="auto"/>
                <w:vertAlign w:val="superscript"/>
              </w:rPr>
              <w:t>(2)</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89</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BFBFBF"/>
            </w:tcBorders>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62</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900" w:type="dxa"/>
            <w:vAlign w:val="bottom"/>
            <w:tcBorders>
              <w:bottom w:val="single" w:sz="8" w:color="BFBFBF"/>
            </w:tcBorders>
          </w:tcPr>
          <w:p>
            <w:pPr>
              <w:ind w:left="20"/>
              <w:spacing w:after="0" w:line="250" w:lineRule="exact"/>
              <w:rPr>
                <w:sz w:val="20"/>
                <w:szCs w:val="20"/>
                <w:color w:val="auto"/>
              </w:rPr>
            </w:pPr>
            <w:r>
              <w:rPr>
                <w:rFonts w:ascii="Arial" w:cs="Arial" w:eastAsia="Arial" w:hAnsi="Arial"/>
                <w:sz w:val="18"/>
                <w:szCs w:val="18"/>
                <w:color w:val="auto"/>
              </w:rPr>
              <w:t>Environmental expense</w:t>
            </w:r>
            <w:r>
              <w:rPr>
                <w:rFonts w:ascii="Arial" w:cs="Arial" w:eastAsia="Arial" w:hAnsi="Arial"/>
                <w:sz w:val="23"/>
                <w:szCs w:val="23"/>
                <w:color w:val="auto"/>
                <w:vertAlign w:val="superscript"/>
              </w:rPr>
              <w:t>(3)</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61</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BFBFBF"/>
            </w:tcBorders>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363</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3 %</w:t>
            </w:r>
          </w:p>
        </w:tc>
      </w:tr>
      <w:tr>
        <w:trPr>
          <w:trHeight w:val="250"/>
        </w:trPr>
        <w:tc>
          <w:tcPr>
            <w:tcW w:w="5900" w:type="dxa"/>
            <w:vAlign w:val="bottom"/>
            <w:tcBorders>
              <w:bottom w:val="single" w:sz="8" w:color="BFBFBF"/>
            </w:tcBorders>
          </w:tcPr>
          <w:p>
            <w:pPr>
              <w:ind w:left="20"/>
              <w:spacing w:after="0" w:line="250" w:lineRule="exact"/>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(4)</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540</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BFBFBF"/>
            </w:tcBorders>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160</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1 %</w:t>
            </w:r>
          </w:p>
        </w:tc>
      </w:tr>
      <w:tr>
        <w:trPr>
          <w:trHeight w:val="250"/>
        </w:trPr>
        <w:tc>
          <w:tcPr>
            <w:tcW w:w="5900" w:type="dxa"/>
            <w:vAlign w:val="bottom"/>
            <w:tcBorders>
              <w:bottom w:val="single" w:sz="8" w:color="BFBFBF"/>
            </w:tcBorders>
          </w:tcPr>
          <w:p>
            <w:pPr>
              <w:ind w:left="20"/>
              <w:spacing w:after="0" w:line="250" w:lineRule="exact"/>
              <w:rPr>
                <w:sz w:val="20"/>
                <w:szCs w:val="20"/>
                <w:color w:val="auto"/>
              </w:rPr>
            </w:pPr>
            <w:r>
              <w:rPr>
                <w:rFonts w:ascii="Arial" w:cs="Arial" w:eastAsia="Arial" w:hAnsi="Arial"/>
                <w:sz w:val="18"/>
                <w:szCs w:val="18"/>
                <w:color w:val="auto"/>
              </w:rPr>
              <w:t>Honeywell trademark license expense</w:t>
            </w:r>
            <w:r>
              <w:rPr>
                <w:rFonts w:ascii="Arial" w:cs="Arial" w:eastAsia="Arial" w:hAnsi="Arial"/>
                <w:sz w:val="23"/>
                <w:szCs w:val="23"/>
                <w:color w:val="auto"/>
                <w:vertAlign w:val="superscript"/>
              </w:rPr>
              <w:t>(2)</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54</w:t>
            </w:r>
          </w:p>
        </w:tc>
        <w:tc>
          <w:tcPr>
            <w:tcW w:w="1500" w:type="dxa"/>
            <w:vAlign w:val="bottom"/>
            <w:tcBorders>
              <w:bottom w:val="single" w:sz="8" w:color="BFBFBF"/>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900" w:type="dxa"/>
            <w:vAlign w:val="bottom"/>
            <w:tcBorders>
              <w:bottom w:val="single" w:sz="8" w:color="BFBFBF"/>
            </w:tcBorders>
          </w:tcPr>
          <w:p>
            <w:pPr>
              <w:ind w:left="20"/>
              <w:spacing w:after="0" w:line="250" w:lineRule="exact"/>
              <w:rPr>
                <w:sz w:val="20"/>
                <w:szCs w:val="20"/>
                <w:color w:val="auto"/>
              </w:rPr>
            </w:pPr>
            <w:r>
              <w:rPr>
                <w:rFonts w:ascii="Arial" w:cs="Arial" w:eastAsia="Arial" w:hAnsi="Arial"/>
                <w:sz w:val="18"/>
                <w:szCs w:val="18"/>
                <w:color w:val="auto"/>
              </w:rPr>
              <w:t>Pension (income) expense</w:t>
            </w:r>
            <w:r>
              <w:rPr>
                <w:rFonts w:ascii="Arial" w:cs="Arial" w:eastAsia="Arial" w:hAnsi="Arial"/>
                <w:sz w:val="23"/>
                <w:szCs w:val="23"/>
                <w:color w:val="auto"/>
                <w:vertAlign w:val="superscript"/>
              </w:rPr>
              <w:t>(5)</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13"/>
              <w:spacing w:after="0"/>
              <w:rPr>
                <w:sz w:val="20"/>
                <w:szCs w:val="20"/>
                <w:color w:val="auto"/>
              </w:rPr>
            </w:pPr>
            <w:r>
              <w:rPr>
                <w:rFonts w:ascii="Arial" w:cs="Arial" w:eastAsia="Arial" w:hAnsi="Arial"/>
                <w:sz w:val="18"/>
                <w:szCs w:val="18"/>
                <w:color w:val="auto"/>
              </w:rPr>
              <w:t>(72)</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BFBFBF"/>
            </w:tcBorders>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4</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90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Interest expense (income), net</w:t>
            </w: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53"/>
              <w:spacing w:after="0"/>
              <w:rPr>
                <w:sz w:val="20"/>
                <w:szCs w:val="20"/>
                <w:color w:val="auto"/>
              </w:rPr>
            </w:pPr>
            <w:r>
              <w:rPr>
                <w:rFonts w:ascii="Arial" w:cs="Arial" w:eastAsia="Arial" w:hAnsi="Arial"/>
                <w:sz w:val="18"/>
                <w:szCs w:val="18"/>
                <w:color w:val="auto"/>
              </w:rPr>
              <w:t>404</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BFBFBF"/>
            </w:tcBorders>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1000" w:type="dxa"/>
            <w:vAlign w:val="bottom"/>
            <w:tcBorders>
              <w:bottom w:val="single" w:sz="8" w:color="BFBFBF"/>
            </w:tcBorders>
          </w:tcPr>
          <w:p>
            <w:pPr>
              <w:jc w:val="right"/>
              <w:ind w:right="13"/>
              <w:spacing w:after="0"/>
              <w:rPr>
                <w:sz w:val="20"/>
                <w:szCs w:val="20"/>
                <w:color w:val="auto"/>
              </w:rPr>
            </w:pPr>
            <w:r>
              <w:rPr>
                <w:rFonts w:ascii="Arial" w:cs="Arial" w:eastAsia="Arial" w:hAnsi="Arial"/>
                <w:sz w:val="18"/>
                <w:szCs w:val="18"/>
                <w:color w:val="auto"/>
              </w:rPr>
              <w:t>(14)</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900" w:type="dxa"/>
            <w:vAlign w:val="bottom"/>
            <w:tcBorders>
              <w:bottom w:val="single" w:sz="8" w:color="384348"/>
            </w:tcBorders>
          </w:tcPr>
          <w:p>
            <w:pPr>
              <w:ind w:left="20"/>
              <w:spacing w:after="0" w:line="250" w:lineRule="exact"/>
              <w:rPr>
                <w:sz w:val="20"/>
                <w:szCs w:val="20"/>
                <w:color w:val="auto"/>
              </w:rPr>
            </w:pPr>
            <w:r>
              <w:rPr>
                <w:rFonts w:ascii="Arial" w:cs="Arial" w:eastAsia="Arial" w:hAnsi="Arial"/>
                <w:sz w:val="18"/>
                <w:szCs w:val="18"/>
                <w:color w:val="auto"/>
              </w:rPr>
              <w:t>Other, net</w:t>
            </w:r>
            <w:r>
              <w:rPr>
                <w:rFonts w:ascii="Arial" w:cs="Arial" w:eastAsia="Arial" w:hAnsi="Arial"/>
                <w:sz w:val="23"/>
                <w:szCs w:val="23"/>
                <w:color w:val="auto"/>
                <w:vertAlign w:val="superscript"/>
              </w:rPr>
              <w:t>(6)</w:t>
            </w:r>
          </w:p>
        </w:tc>
        <w:tc>
          <w:tcPr>
            <w:tcW w:w="220" w:type="dxa"/>
            <w:vAlign w:val="bottom"/>
            <w:tcBorders>
              <w:bottom w:val="single" w:sz="8" w:color="384348"/>
            </w:tcBorders>
          </w:tcPr>
          <w:p>
            <w:pPr>
              <w:spacing w:after="0"/>
              <w:rPr>
                <w:sz w:val="21"/>
                <w:szCs w:val="21"/>
                <w:color w:val="auto"/>
              </w:rPr>
            </w:pPr>
          </w:p>
        </w:tc>
        <w:tc>
          <w:tcPr>
            <w:tcW w:w="1000" w:type="dxa"/>
            <w:vAlign w:val="bottom"/>
            <w:tcBorders>
              <w:bottom w:val="single" w:sz="8" w:color="384348"/>
            </w:tcBorders>
          </w:tcPr>
          <w:p>
            <w:pPr>
              <w:jc w:val="right"/>
              <w:ind w:right="53"/>
              <w:spacing w:after="0"/>
              <w:rPr>
                <w:sz w:val="20"/>
                <w:szCs w:val="20"/>
                <w:color w:val="auto"/>
              </w:rPr>
            </w:pPr>
            <w:r>
              <w:rPr>
                <w:rFonts w:ascii="Arial" w:cs="Arial" w:eastAsia="Arial" w:hAnsi="Arial"/>
                <w:sz w:val="18"/>
                <w:szCs w:val="18"/>
                <w:color w:val="auto"/>
              </w:rPr>
              <w:t>24</w:t>
            </w:r>
          </w:p>
        </w:tc>
        <w:tc>
          <w:tcPr>
            <w:tcW w:w="1500" w:type="dxa"/>
            <w:vAlign w:val="bottom"/>
            <w:tcBorders>
              <w:bottom w:val="single" w:sz="8" w:color="384348"/>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384348"/>
            </w:tcBorders>
          </w:tcPr>
          <w:p>
            <w:pPr>
              <w:spacing w:after="0"/>
              <w:rPr>
                <w:sz w:val="21"/>
                <w:szCs w:val="21"/>
                <w:color w:val="auto"/>
              </w:rPr>
            </w:pPr>
          </w:p>
        </w:tc>
        <w:tc>
          <w:tcPr>
            <w:tcW w:w="1000" w:type="dxa"/>
            <w:vAlign w:val="bottom"/>
            <w:tcBorders>
              <w:bottom w:val="single" w:sz="8" w:color="384348"/>
            </w:tcBorders>
          </w:tcPr>
          <w:p>
            <w:pPr>
              <w:jc w:val="right"/>
              <w:ind w:right="13"/>
              <w:spacing w:after="0"/>
              <w:rPr>
                <w:sz w:val="20"/>
                <w:szCs w:val="20"/>
                <w:color w:val="auto"/>
              </w:rPr>
            </w:pPr>
            <w:r>
              <w:rPr>
                <w:rFonts w:ascii="Arial" w:cs="Arial" w:eastAsia="Arial" w:hAnsi="Arial"/>
                <w:sz w:val="18"/>
                <w:szCs w:val="18"/>
                <w:color w:val="auto"/>
              </w:rPr>
              <w:t>(29)</w:t>
            </w:r>
          </w:p>
        </w:tc>
        <w:tc>
          <w:tcPr>
            <w:tcW w:w="14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90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Total segment profit/Segment adjusted EBIT</w:t>
            </w:r>
          </w:p>
        </w:tc>
        <w:tc>
          <w:tcPr>
            <w:tcW w:w="22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384348"/>
            </w:tcBorders>
          </w:tcPr>
          <w:p>
            <w:pPr>
              <w:jc w:val="right"/>
              <w:ind w:right="53"/>
              <w:spacing w:after="0"/>
              <w:rPr>
                <w:sz w:val="20"/>
                <w:szCs w:val="20"/>
                <w:color w:val="auto"/>
              </w:rPr>
            </w:pPr>
            <w:r>
              <w:rPr>
                <w:rFonts w:ascii="Arial" w:cs="Arial" w:eastAsia="Arial" w:hAnsi="Arial"/>
                <w:sz w:val="18"/>
                <w:szCs w:val="18"/>
                <w:b w:val="1"/>
                <w:bCs w:val="1"/>
                <w:color w:val="auto"/>
              </w:rPr>
              <w:t>3,251</w:t>
            </w:r>
          </w:p>
        </w:tc>
        <w:tc>
          <w:tcPr>
            <w:tcW w:w="14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24 %</w:t>
            </w:r>
          </w:p>
        </w:tc>
        <w:tc>
          <w:tcPr>
            <w:tcW w:w="100" w:type="dxa"/>
            <w:vAlign w:val="bottom"/>
            <w:tcBorders>
              <w:bottom w:val="single" w:sz="8" w:color="384348"/>
            </w:tcBorders>
          </w:tcPr>
          <w:p>
            <w:pPr>
              <w:spacing w:after="0"/>
              <w:rPr>
                <w:sz w:val="21"/>
                <w:szCs w:val="21"/>
                <w:color w:val="auto"/>
              </w:rPr>
            </w:pPr>
          </w:p>
        </w:tc>
        <w:tc>
          <w:tcPr>
            <w:tcW w:w="22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384348"/>
            </w:tcBorders>
          </w:tcPr>
          <w:p>
            <w:pPr>
              <w:jc w:val="right"/>
              <w:ind w:right="53"/>
              <w:spacing w:after="0"/>
              <w:rPr>
                <w:sz w:val="20"/>
                <w:szCs w:val="20"/>
                <w:color w:val="auto"/>
              </w:rPr>
            </w:pPr>
            <w:r>
              <w:rPr>
                <w:rFonts w:ascii="Arial" w:cs="Arial" w:eastAsia="Arial" w:hAnsi="Arial"/>
                <w:sz w:val="18"/>
                <w:szCs w:val="18"/>
                <w:b w:val="1"/>
                <w:bCs w:val="1"/>
                <w:color w:val="auto"/>
              </w:rPr>
              <w:t>3,257</w:t>
            </w:r>
          </w:p>
        </w:tc>
        <w:tc>
          <w:tcPr>
            <w:tcW w:w="14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25 %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included in Cost of products and services sold and Selling, general and administrative.</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included in Selling, general and administrative expenses.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included in Cost of products and services sold and Other (income) expense, net.</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included in Selling, general and administrative expenses and Other (income) expense, net.</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included in Cost of products and services sold, Selling, general and administrative, Research and development, and Other (income) expense, net.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include repositioning and other charges.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1160" w:type="dxa"/>
            <w:vAlign w:val="bottom"/>
            <w:tcBorders>
              <w:bottom w:val="single" w:sz="8" w:color="FF4400"/>
            </w:tcBorders>
          </w:tcPr>
          <w:p>
            <w:pPr>
              <w:spacing w:after="0"/>
              <w:rPr>
                <w:sz w:val="17"/>
                <w:szCs w:val="17"/>
                <w:color w:val="auto"/>
              </w:rPr>
            </w:pPr>
          </w:p>
        </w:tc>
        <w:tc>
          <w:tcPr>
            <w:tcW w:w="1380" w:type="dxa"/>
            <w:vAlign w:val="bottom"/>
            <w:tcBorders>
              <w:bottom w:val="single" w:sz="8" w:color="FF4400"/>
            </w:tcBorders>
          </w:tcPr>
          <w:p>
            <w:pPr>
              <w:spacing w:after="0"/>
              <w:rPr>
                <w:sz w:val="17"/>
                <w:szCs w:val="17"/>
                <w:color w:val="auto"/>
              </w:rPr>
            </w:pPr>
          </w:p>
        </w:tc>
        <w:tc>
          <w:tcPr>
            <w:tcW w:w="2940" w:type="dxa"/>
            <w:vAlign w:val="bottom"/>
            <w:tcBorders>
              <w:bottom w:val="single" w:sz="8" w:color="FF4400"/>
            </w:tcBorders>
            <w:gridSpan w:val="6"/>
          </w:tcPr>
          <w:p>
            <w:pPr>
              <w:jc w:val="right"/>
              <w:ind w:right="90"/>
              <w:spacing w:after="0"/>
              <w:rPr>
                <w:sz w:val="20"/>
                <w:szCs w:val="20"/>
                <w:color w:val="auto"/>
              </w:rPr>
            </w:pPr>
            <w:r>
              <w:rPr>
                <w:rFonts w:ascii="Arial" w:cs="Arial" w:eastAsia="Arial" w:hAnsi="Arial"/>
                <w:sz w:val="14"/>
                <w:szCs w:val="14"/>
                <w:b w:val="1"/>
                <w:bCs w:val="1"/>
                <w:color w:val="auto"/>
              </w:rPr>
              <w:t>Nine Months Ended September 26, 2026</w:t>
            </w:r>
          </w:p>
        </w:tc>
        <w:tc>
          <w:tcPr>
            <w:tcW w:w="1220" w:type="dxa"/>
            <w:vAlign w:val="bottom"/>
            <w:tcBorders>
              <w:bottom w:val="single" w:sz="8" w:color="FF4400"/>
            </w:tcBorders>
          </w:tcPr>
          <w:p>
            <w:pPr>
              <w:spacing w:after="0"/>
              <w:rPr>
                <w:sz w:val="17"/>
                <w:szCs w:val="17"/>
                <w:color w:val="auto"/>
              </w:rPr>
            </w:pPr>
          </w:p>
        </w:tc>
        <w:tc>
          <w:tcPr>
            <w:tcW w:w="1380" w:type="dxa"/>
            <w:vAlign w:val="bottom"/>
            <w:tcBorders>
              <w:bottom w:val="single" w:sz="8" w:color="FF440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2540" w:type="dxa"/>
            <w:vAlign w:val="bottom"/>
            <w:tcBorders>
              <w:bottom w:val="single" w:sz="8" w:color="FF4400"/>
            </w:tcBorders>
            <w:gridSpan w:val="2"/>
          </w:tcPr>
          <w:p>
            <w:pPr>
              <w:jc w:val="right"/>
              <w:ind w:right="619"/>
              <w:spacing w:after="0"/>
              <w:rPr>
                <w:sz w:val="20"/>
                <w:szCs w:val="20"/>
                <w:color w:val="auto"/>
              </w:rPr>
            </w:pPr>
            <w:r>
              <w:rPr>
                <w:rFonts w:ascii="Arial" w:cs="Arial" w:eastAsia="Arial" w:hAnsi="Arial"/>
                <w:sz w:val="14"/>
                <w:szCs w:val="14"/>
                <w:b w:val="1"/>
                <w:bCs w:val="1"/>
                <w:color w:val="auto"/>
              </w:rPr>
              <w:t>Electronic Solutions</w:t>
            </w:r>
          </w:p>
        </w:tc>
        <w:tc>
          <w:tcPr>
            <w:tcW w:w="8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2320" w:type="dxa"/>
            <w:vAlign w:val="bottom"/>
            <w:tcBorders>
              <w:bottom w:val="single" w:sz="8" w:color="FF4400"/>
            </w:tcBorders>
            <w:gridSpan w:val="2"/>
          </w:tcPr>
          <w:p>
            <w:pPr>
              <w:jc w:val="right"/>
              <w:ind w:right="279"/>
              <w:spacing w:after="0"/>
              <w:rPr>
                <w:sz w:val="20"/>
                <w:szCs w:val="20"/>
                <w:color w:val="auto"/>
              </w:rPr>
            </w:pPr>
            <w:r>
              <w:rPr>
                <w:rFonts w:ascii="Arial" w:cs="Arial" w:eastAsia="Arial" w:hAnsi="Arial"/>
                <w:sz w:val="14"/>
                <w:szCs w:val="14"/>
                <w:b w:val="1"/>
                <w:bCs w:val="1"/>
                <w:color w:val="auto"/>
              </w:rPr>
              <w:t>Engines &amp; Power Systems</w:t>
            </w:r>
          </w:p>
        </w:tc>
        <w:tc>
          <w:tcPr>
            <w:tcW w:w="80" w:type="dxa"/>
            <w:vAlign w:val="bottom"/>
          </w:tcPr>
          <w:p>
            <w:pPr>
              <w:spacing w:after="0"/>
              <w:rPr>
                <w:sz w:val="17"/>
                <w:szCs w:val="17"/>
                <w:color w:val="auto"/>
              </w:rPr>
            </w:pPr>
          </w:p>
        </w:tc>
        <w:tc>
          <w:tcPr>
            <w:tcW w:w="240" w:type="dxa"/>
            <w:vAlign w:val="bottom"/>
            <w:tcBorders>
              <w:bottom w:val="single" w:sz="8" w:color="FF4400"/>
            </w:tcBorders>
          </w:tcPr>
          <w:p>
            <w:pPr>
              <w:spacing w:after="0"/>
              <w:rPr>
                <w:sz w:val="17"/>
                <w:szCs w:val="17"/>
                <w:color w:val="auto"/>
              </w:rPr>
            </w:pPr>
          </w:p>
        </w:tc>
        <w:tc>
          <w:tcPr>
            <w:tcW w:w="2600" w:type="dxa"/>
            <w:vAlign w:val="bottom"/>
            <w:tcBorders>
              <w:bottom w:val="single" w:sz="8" w:color="FF4400"/>
            </w:tcBorders>
            <w:gridSpan w:val="2"/>
          </w:tcPr>
          <w:p>
            <w:pPr>
              <w:jc w:val="right"/>
              <w:ind w:right="759"/>
              <w:spacing w:after="0"/>
              <w:rPr>
                <w:sz w:val="20"/>
                <w:szCs w:val="20"/>
                <w:color w:val="auto"/>
              </w:rPr>
            </w:pPr>
            <w:r>
              <w:rPr>
                <w:rFonts w:ascii="Arial" w:cs="Arial" w:eastAsia="Arial" w:hAnsi="Arial"/>
                <w:sz w:val="14"/>
                <w:szCs w:val="14"/>
                <w:b w:val="1"/>
                <w:bCs w:val="1"/>
                <w:color w:val="auto"/>
              </w:rPr>
              <w:t>Control Systems</w:t>
            </w:r>
          </w:p>
        </w:tc>
        <w:tc>
          <w:tcPr>
            <w:tcW w:w="0" w:type="dxa"/>
            <w:vAlign w:val="bottom"/>
          </w:tcPr>
          <w:p>
            <w:pPr>
              <w:spacing w:after="0"/>
              <w:rPr>
                <w:sz w:val="1"/>
                <w:szCs w:val="1"/>
                <w:color w:val="auto"/>
              </w:rPr>
            </w:pPr>
          </w:p>
        </w:tc>
      </w:tr>
      <w:tr>
        <w:trPr>
          <w:trHeight w:val="204"/>
        </w:trPr>
        <w:tc>
          <w:tcPr>
            <w:tcW w:w="2940" w:type="dxa"/>
            <w:vAlign w:val="bottom"/>
            <w:tcBorders>
              <w:bottom w:val="single" w:sz="8" w:color="FF4400"/>
            </w:tcBorders>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1160" w:type="dxa"/>
            <w:vAlign w:val="bottom"/>
            <w:tcBorders>
              <w:bottom w:val="single" w:sz="8" w:color="FF4400"/>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FF4400"/>
            </w:tcBorders>
          </w:tcPr>
          <w:p>
            <w:pPr>
              <w:jc w:val="right"/>
              <w:ind w:right="359"/>
              <w:spacing w:after="0"/>
              <w:rPr>
                <w:sz w:val="20"/>
                <w:szCs w:val="20"/>
                <w:color w:val="auto"/>
              </w:rPr>
            </w:pPr>
            <w:r>
              <w:rPr>
                <w:rFonts w:ascii="Arial" w:cs="Arial" w:eastAsia="Arial" w:hAnsi="Arial"/>
                <w:sz w:val="14"/>
                <w:szCs w:val="14"/>
                <w:b w:val="1"/>
                <w:bCs w:val="1"/>
                <w:color w:val="auto"/>
              </w:rPr>
              <w:t>Margin %</w:t>
            </w:r>
          </w:p>
        </w:tc>
        <w:tc>
          <w:tcPr>
            <w:tcW w:w="80" w:type="dxa"/>
            <w:vAlign w:val="bottom"/>
            <w:tcBorders>
              <w:bottom w:val="single" w:sz="8" w:color="FF4400"/>
            </w:tcBorders>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1120" w:type="dxa"/>
            <w:vAlign w:val="bottom"/>
            <w:tcBorders>
              <w:bottom w:val="single" w:sz="8" w:color="FF4400"/>
            </w:tcBorders>
          </w:tcPr>
          <w:p>
            <w:pPr>
              <w:jc w:val="right"/>
              <w:ind w:right="402"/>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bottom w:val="single" w:sz="8" w:color="FF4400"/>
            </w:tcBorders>
            <w:gridSpan w:val="2"/>
          </w:tcPr>
          <w:p>
            <w:pPr>
              <w:ind w:left="240"/>
              <w:spacing w:after="0"/>
              <w:rPr>
                <w:sz w:val="20"/>
                <w:szCs w:val="20"/>
                <w:color w:val="auto"/>
              </w:rPr>
            </w:pPr>
            <w:r>
              <w:rPr>
                <w:rFonts w:ascii="Arial" w:cs="Arial" w:eastAsia="Arial" w:hAnsi="Arial"/>
                <w:sz w:val="14"/>
                <w:szCs w:val="14"/>
                <w:b w:val="1"/>
                <w:bCs w:val="1"/>
                <w:color w:val="auto"/>
              </w:rPr>
              <w:t>Margin %</w:t>
            </w:r>
          </w:p>
        </w:tc>
        <w:tc>
          <w:tcPr>
            <w:tcW w:w="240" w:type="dxa"/>
            <w:vAlign w:val="bottom"/>
            <w:tcBorders>
              <w:bottom w:val="single" w:sz="8" w:color="FF4400"/>
            </w:tcBorders>
          </w:tcPr>
          <w:p>
            <w:pPr>
              <w:spacing w:after="0"/>
              <w:rPr>
                <w:sz w:val="17"/>
                <w:szCs w:val="17"/>
                <w:color w:val="auto"/>
              </w:rPr>
            </w:pPr>
          </w:p>
        </w:tc>
        <w:tc>
          <w:tcPr>
            <w:tcW w:w="1220" w:type="dxa"/>
            <w:vAlign w:val="bottom"/>
            <w:tcBorders>
              <w:bottom w:val="single" w:sz="8" w:color="FF4400"/>
            </w:tcBorders>
          </w:tcPr>
          <w:p>
            <w:pPr>
              <w:jc w:val="right"/>
              <w:ind w:right="482"/>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FF4400"/>
            </w:tcBorders>
          </w:tcPr>
          <w:p>
            <w:pPr>
              <w:jc w:val="right"/>
              <w:ind w:right="359"/>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184"/>
        </w:trPr>
        <w:tc>
          <w:tcPr>
            <w:tcW w:w="2940" w:type="dxa"/>
            <w:vAlign w:val="bottom"/>
          </w:tcPr>
          <w:p>
            <w:pPr>
              <w:ind w:left="20"/>
              <w:spacing w:after="0" w:line="183" w:lineRule="exact"/>
              <w:rPr>
                <w:sz w:val="20"/>
                <w:szCs w:val="20"/>
                <w:color w:val="auto"/>
              </w:rPr>
            </w:pPr>
            <w:r>
              <w:rPr>
                <w:rFonts w:ascii="Arial" w:cs="Arial" w:eastAsia="Arial" w:hAnsi="Arial"/>
                <w:sz w:val="18"/>
                <w:szCs w:val="18"/>
                <w:color w:val="auto"/>
              </w:rPr>
              <w:t>Segment profit/Segment adjusted</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222"/>
              <w:spacing w:after="0"/>
              <w:rPr>
                <w:sz w:val="20"/>
                <w:szCs w:val="20"/>
                <w:color w:val="auto"/>
              </w:rPr>
            </w:pPr>
            <w:r>
              <w:rPr>
                <w:rFonts w:ascii="Arial" w:cs="Arial" w:eastAsia="Arial" w:hAnsi="Arial"/>
                <w:sz w:val="18"/>
                <w:szCs w:val="18"/>
                <w:color w:val="auto"/>
              </w:rPr>
              <w:t>1,533</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29 %</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62"/>
              <w:spacing w:after="0"/>
              <w:rPr>
                <w:sz w:val="20"/>
                <w:szCs w:val="20"/>
                <w:color w:val="auto"/>
              </w:rPr>
            </w:pPr>
            <w:r>
              <w:rPr>
                <w:rFonts w:ascii="Arial" w:cs="Arial" w:eastAsia="Arial" w:hAnsi="Arial"/>
                <w:sz w:val="18"/>
                <w:szCs w:val="18"/>
                <w:color w:val="auto"/>
              </w:rPr>
              <w:t>705</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222"/>
              <w:spacing w:after="0"/>
              <w:rPr>
                <w:sz w:val="20"/>
                <w:szCs w:val="20"/>
                <w:color w:val="auto"/>
              </w:rPr>
            </w:pPr>
            <w:r>
              <w:rPr>
                <w:rFonts w:ascii="Arial" w:cs="Arial" w:eastAsia="Arial" w:hAnsi="Arial"/>
                <w:sz w:val="18"/>
                <w:szCs w:val="18"/>
                <w:color w:val="auto"/>
              </w:rPr>
              <w:t>1,098</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5"/>
        </w:trPr>
        <w:tc>
          <w:tcPr>
            <w:tcW w:w="29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EBIT</w:t>
            </w:r>
          </w:p>
        </w:tc>
        <w:tc>
          <w:tcPr>
            <w:tcW w:w="220" w:type="dxa"/>
            <w:vAlign w:val="bottom"/>
            <w:tcBorders>
              <w:bottom w:val="single" w:sz="8" w:color="BFBFBF"/>
            </w:tcBorders>
            <w:vMerge w:val="continue"/>
          </w:tcPr>
          <w:p>
            <w:pPr>
              <w:spacing w:after="0"/>
              <w:rPr>
                <w:sz w:val="20"/>
                <w:szCs w:val="20"/>
                <w:color w:val="auto"/>
              </w:rPr>
            </w:pPr>
          </w:p>
        </w:tc>
        <w:tc>
          <w:tcPr>
            <w:tcW w:w="1160" w:type="dxa"/>
            <w:vAlign w:val="bottom"/>
            <w:tcBorders>
              <w:bottom w:val="single" w:sz="8" w:color="BFBFBF"/>
            </w:tcBorders>
            <w:vMerge w:val="continue"/>
          </w:tcPr>
          <w:p>
            <w:pPr>
              <w:spacing w:after="0"/>
              <w:rPr>
                <w:sz w:val="20"/>
                <w:szCs w:val="20"/>
                <w:color w:val="auto"/>
              </w:rPr>
            </w:pPr>
          </w:p>
        </w:tc>
        <w:tc>
          <w:tcPr>
            <w:tcW w:w="1380" w:type="dxa"/>
            <w:vAlign w:val="bottom"/>
            <w:tcBorders>
              <w:bottom w:val="single" w:sz="8" w:color="BFBFBF"/>
            </w:tcBorders>
            <w:vMerge w:val="continue"/>
          </w:tcPr>
          <w:p>
            <w:pPr>
              <w:spacing w:after="0"/>
              <w:rPr>
                <w:sz w:val="20"/>
                <w:szCs w:val="20"/>
                <w:color w:val="auto"/>
              </w:rPr>
            </w:pPr>
          </w:p>
        </w:tc>
        <w:tc>
          <w:tcPr>
            <w:tcW w:w="300" w:type="dxa"/>
            <w:vAlign w:val="bottom"/>
            <w:tcBorders>
              <w:bottom w:val="single" w:sz="8" w:color="BFBFBF"/>
            </w:tcBorders>
            <w:gridSpan w:val="2"/>
            <w:vMerge w:val="continue"/>
          </w:tcPr>
          <w:p>
            <w:pPr>
              <w:spacing w:after="0"/>
              <w:rPr>
                <w:sz w:val="20"/>
                <w:szCs w:val="20"/>
                <w:color w:val="auto"/>
              </w:rPr>
            </w:pPr>
          </w:p>
        </w:tc>
        <w:tc>
          <w:tcPr>
            <w:tcW w:w="1120" w:type="dxa"/>
            <w:vAlign w:val="bottom"/>
            <w:tcBorders>
              <w:bottom w:val="single" w:sz="8" w:color="BFBFBF"/>
            </w:tcBorders>
            <w:vMerge w:val="continue"/>
          </w:tcPr>
          <w:p>
            <w:pPr>
              <w:spacing w:after="0"/>
              <w:rPr>
                <w:sz w:val="20"/>
                <w:szCs w:val="20"/>
                <w:color w:val="auto"/>
              </w:rPr>
            </w:pPr>
          </w:p>
        </w:tc>
        <w:tc>
          <w:tcPr>
            <w:tcW w:w="1200" w:type="dxa"/>
            <w:vAlign w:val="bottom"/>
            <w:tcBorders>
              <w:bottom w:val="single" w:sz="8" w:color="BFBFBF"/>
            </w:tcBorders>
            <w:vMerge w:val="continue"/>
          </w:tcPr>
          <w:p>
            <w:pPr>
              <w:spacing w:after="0"/>
              <w:rPr>
                <w:sz w:val="20"/>
                <w:szCs w:val="20"/>
                <w:color w:val="auto"/>
              </w:rPr>
            </w:pPr>
          </w:p>
        </w:tc>
        <w:tc>
          <w:tcPr>
            <w:tcW w:w="80" w:type="dxa"/>
            <w:vAlign w:val="bottom"/>
            <w:tcBorders>
              <w:bottom w:val="single" w:sz="8" w:color="BFBFBF"/>
            </w:tcBorders>
          </w:tcPr>
          <w:p>
            <w:pPr>
              <w:spacing w:after="0"/>
              <w:rPr>
                <w:sz w:val="20"/>
                <w:szCs w:val="20"/>
                <w:color w:val="auto"/>
              </w:rPr>
            </w:pPr>
          </w:p>
        </w:tc>
        <w:tc>
          <w:tcPr>
            <w:tcW w:w="240" w:type="dxa"/>
            <w:vAlign w:val="bottom"/>
            <w:tcBorders>
              <w:bottom w:val="single" w:sz="8" w:color="BFBFBF"/>
            </w:tcBorders>
            <w:vMerge w:val="continue"/>
          </w:tcPr>
          <w:p>
            <w:pPr>
              <w:spacing w:after="0"/>
              <w:rPr>
                <w:sz w:val="20"/>
                <w:szCs w:val="20"/>
                <w:color w:val="auto"/>
              </w:rPr>
            </w:pPr>
          </w:p>
        </w:tc>
        <w:tc>
          <w:tcPr>
            <w:tcW w:w="1220" w:type="dxa"/>
            <w:vAlign w:val="bottom"/>
            <w:tcBorders>
              <w:bottom w:val="single" w:sz="8" w:color="BFBFBF"/>
            </w:tcBorders>
            <w:vMerge w:val="continue"/>
          </w:tcPr>
          <w:p>
            <w:pPr>
              <w:spacing w:after="0"/>
              <w:rPr>
                <w:sz w:val="20"/>
                <w:szCs w:val="20"/>
                <w:color w:val="auto"/>
              </w:rPr>
            </w:pPr>
          </w:p>
        </w:tc>
        <w:tc>
          <w:tcPr>
            <w:tcW w:w="1380" w:type="dxa"/>
            <w:vAlign w:val="bottom"/>
            <w:tcBorders>
              <w:bottom w:val="single" w:sz="8" w:color="BFBFB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2940" w:type="dxa"/>
            <w:vAlign w:val="bottom"/>
          </w:tcPr>
          <w:p>
            <w:pPr>
              <w:spacing w:after="0"/>
              <w:rPr>
                <w:sz w:val="24"/>
                <w:szCs w:val="24"/>
                <w:color w:val="auto"/>
              </w:rPr>
            </w:pPr>
          </w:p>
        </w:tc>
        <w:tc>
          <w:tcPr>
            <w:tcW w:w="220" w:type="dxa"/>
            <w:vAlign w:val="bottom"/>
            <w:tcBorders>
              <w:bottom w:val="single" w:sz="8" w:color="FF4400"/>
            </w:tcBorders>
          </w:tcPr>
          <w:p>
            <w:pPr>
              <w:spacing w:after="0"/>
              <w:rPr>
                <w:sz w:val="24"/>
                <w:szCs w:val="24"/>
                <w:color w:val="auto"/>
              </w:rPr>
            </w:pPr>
          </w:p>
        </w:tc>
        <w:tc>
          <w:tcPr>
            <w:tcW w:w="1160" w:type="dxa"/>
            <w:vAlign w:val="bottom"/>
            <w:tcBorders>
              <w:bottom w:val="single" w:sz="8" w:color="FF4400"/>
            </w:tcBorders>
          </w:tcPr>
          <w:p>
            <w:pPr>
              <w:spacing w:after="0"/>
              <w:rPr>
                <w:sz w:val="24"/>
                <w:szCs w:val="24"/>
                <w:color w:val="auto"/>
              </w:rPr>
            </w:pPr>
          </w:p>
        </w:tc>
        <w:tc>
          <w:tcPr>
            <w:tcW w:w="1380" w:type="dxa"/>
            <w:vAlign w:val="bottom"/>
            <w:tcBorders>
              <w:bottom w:val="single" w:sz="8" w:color="FF4400"/>
            </w:tcBorders>
          </w:tcPr>
          <w:p>
            <w:pPr>
              <w:spacing w:after="0"/>
              <w:rPr>
                <w:sz w:val="24"/>
                <w:szCs w:val="24"/>
                <w:color w:val="auto"/>
              </w:rPr>
            </w:pPr>
          </w:p>
        </w:tc>
        <w:tc>
          <w:tcPr>
            <w:tcW w:w="2940" w:type="dxa"/>
            <w:vAlign w:val="bottom"/>
            <w:tcBorders>
              <w:bottom w:val="single" w:sz="8" w:color="FF4400"/>
            </w:tcBorders>
            <w:gridSpan w:val="6"/>
          </w:tcPr>
          <w:p>
            <w:pPr>
              <w:jc w:val="right"/>
              <w:ind w:right="90"/>
              <w:spacing w:after="0"/>
              <w:rPr>
                <w:sz w:val="20"/>
                <w:szCs w:val="20"/>
                <w:color w:val="auto"/>
              </w:rPr>
            </w:pPr>
            <w:r>
              <w:rPr>
                <w:rFonts w:ascii="Arial" w:cs="Arial" w:eastAsia="Arial" w:hAnsi="Arial"/>
                <w:sz w:val="14"/>
                <w:szCs w:val="14"/>
                <w:b w:val="1"/>
                <w:bCs w:val="1"/>
                <w:color w:val="auto"/>
              </w:rPr>
              <w:t>Nine Months Ended September 27, 2025</w:t>
            </w:r>
          </w:p>
        </w:tc>
        <w:tc>
          <w:tcPr>
            <w:tcW w:w="1220" w:type="dxa"/>
            <w:vAlign w:val="bottom"/>
            <w:tcBorders>
              <w:bottom w:val="single" w:sz="8" w:color="FF4400"/>
            </w:tcBorders>
          </w:tcPr>
          <w:p>
            <w:pPr>
              <w:spacing w:after="0"/>
              <w:rPr>
                <w:sz w:val="24"/>
                <w:szCs w:val="24"/>
                <w:color w:val="auto"/>
              </w:rPr>
            </w:pPr>
          </w:p>
        </w:tc>
        <w:tc>
          <w:tcPr>
            <w:tcW w:w="1380" w:type="dxa"/>
            <w:vAlign w:val="bottom"/>
            <w:tcBorders>
              <w:bottom w:val="single" w:sz="8" w:color="FF440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2540" w:type="dxa"/>
            <w:vAlign w:val="bottom"/>
            <w:tcBorders>
              <w:bottom w:val="single" w:sz="8" w:color="FF4400"/>
            </w:tcBorders>
            <w:gridSpan w:val="2"/>
          </w:tcPr>
          <w:p>
            <w:pPr>
              <w:jc w:val="right"/>
              <w:ind w:right="619"/>
              <w:spacing w:after="0"/>
              <w:rPr>
                <w:sz w:val="20"/>
                <w:szCs w:val="20"/>
                <w:color w:val="auto"/>
              </w:rPr>
            </w:pPr>
            <w:r>
              <w:rPr>
                <w:rFonts w:ascii="Arial" w:cs="Arial" w:eastAsia="Arial" w:hAnsi="Arial"/>
                <w:sz w:val="14"/>
                <w:szCs w:val="14"/>
                <w:b w:val="1"/>
                <w:bCs w:val="1"/>
                <w:color w:val="auto"/>
              </w:rPr>
              <w:t>Electronic Solutions</w:t>
            </w:r>
          </w:p>
        </w:tc>
        <w:tc>
          <w:tcPr>
            <w:tcW w:w="80" w:type="dxa"/>
            <w:vAlign w:val="bottom"/>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2320" w:type="dxa"/>
            <w:vAlign w:val="bottom"/>
            <w:tcBorders>
              <w:bottom w:val="single" w:sz="8" w:color="FF4400"/>
            </w:tcBorders>
            <w:gridSpan w:val="2"/>
          </w:tcPr>
          <w:p>
            <w:pPr>
              <w:jc w:val="right"/>
              <w:ind w:right="279"/>
              <w:spacing w:after="0"/>
              <w:rPr>
                <w:sz w:val="20"/>
                <w:szCs w:val="20"/>
                <w:color w:val="auto"/>
              </w:rPr>
            </w:pPr>
            <w:r>
              <w:rPr>
                <w:rFonts w:ascii="Arial" w:cs="Arial" w:eastAsia="Arial" w:hAnsi="Arial"/>
                <w:sz w:val="14"/>
                <w:szCs w:val="14"/>
                <w:b w:val="1"/>
                <w:bCs w:val="1"/>
                <w:color w:val="auto"/>
              </w:rPr>
              <w:t>Engines &amp; Power Systems</w:t>
            </w:r>
          </w:p>
        </w:tc>
        <w:tc>
          <w:tcPr>
            <w:tcW w:w="80" w:type="dxa"/>
            <w:vAlign w:val="bottom"/>
          </w:tcPr>
          <w:p>
            <w:pPr>
              <w:spacing w:after="0"/>
              <w:rPr>
                <w:sz w:val="17"/>
                <w:szCs w:val="17"/>
                <w:color w:val="auto"/>
              </w:rPr>
            </w:pPr>
          </w:p>
        </w:tc>
        <w:tc>
          <w:tcPr>
            <w:tcW w:w="240" w:type="dxa"/>
            <w:vAlign w:val="bottom"/>
            <w:tcBorders>
              <w:bottom w:val="single" w:sz="8" w:color="FF4400"/>
            </w:tcBorders>
          </w:tcPr>
          <w:p>
            <w:pPr>
              <w:spacing w:after="0"/>
              <w:rPr>
                <w:sz w:val="17"/>
                <w:szCs w:val="17"/>
                <w:color w:val="auto"/>
              </w:rPr>
            </w:pPr>
          </w:p>
        </w:tc>
        <w:tc>
          <w:tcPr>
            <w:tcW w:w="2600" w:type="dxa"/>
            <w:vAlign w:val="bottom"/>
            <w:tcBorders>
              <w:bottom w:val="single" w:sz="8" w:color="FF4400"/>
            </w:tcBorders>
            <w:gridSpan w:val="2"/>
          </w:tcPr>
          <w:p>
            <w:pPr>
              <w:jc w:val="right"/>
              <w:ind w:right="759"/>
              <w:spacing w:after="0"/>
              <w:rPr>
                <w:sz w:val="20"/>
                <w:szCs w:val="20"/>
                <w:color w:val="auto"/>
              </w:rPr>
            </w:pPr>
            <w:r>
              <w:rPr>
                <w:rFonts w:ascii="Arial" w:cs="Arial" w:eastAsia="Arial" w:hAnsi="Arial"/>
                <w:sz w:val="14"/>
                <w:szCs w:val="14"/>
                <w:b w:val="1"/>
                <w:bCs w:val="1"/>
                <w:color w:val="auto"/>
              </w:rPr>
              <w:t>Control Systems</w:t>
            </w:r>
          </w:p>
        </w:tc>
        <w:tc>
          <w:tcPr>
            <w:tcW w:w="0" w:type="dxa"/>
            <w:vAlign w:val="bottom"/>
          </w:tcPr>
          <w:p>
            <w:pPr>
              <w:spacing w:after="0"/>
              <w:rPr>
                <w:sz w:val="1"/>
                <w:szCs w:val="1"/>
                <w:color w:val="auto"/>
              </w:rPr>
            </w:pPr>
          </w:p>
        </w:tc>
      </w:tr>
      <w:tr>
        <w:trPr>
          <w:trHeight w:val="204"/>
        </w:trPr>
        <w:tc>
          <w:tcPr>
            <w:tcW w:w="2940" w:type="dxa"/>
            <w:vAlign w:val="bottom"/>
            <w:tcBorders>
              <w:bottom w:val="single" w:sz="8" w:color="FF4400"/>
            </w:tcBorders>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1160" w:type="dxa"/>
            <w:vAlign w:val="bottom"/>
            <w:tcBorders>
              <w:bottom w:val="single" w:sz="8" w:color="FF4400"/>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FF4400"/>
            </w:tcBorders>
          </w:tcPr>
          <w:p>
            <w:pPr>
              <w:jc w:val="right"/>
              <w:ind w:right="359"/>
              <w:spacing w:after="0"/>
              <w:rPr>
                <w:sz w:val="20"/>
                <w:szCs w:val="20"/>
                <w:color w:val="auto"/>
              </w:rPr>
            </w:pPr>
            <w:r>
              <w:rPr>
                <w:rFonts w:ascii="Arial" w:cs="Arial" w:eastAsia="Arial" w:hAnsi="Arial"/>
                <w:sz w:val="14"/>
                <w:szCs w:val="14"/>
                <w:b w:val="1"/>
                <w:bCs w:val="1"/>
                <w:color w:val="auto"/>
              </w:rPr>
              <w:t>Margin %</w:t>
            </w:r>
          </w:p>
        </w:tc>
        <w:tc>
          <w:tcPr>
            <w:tcW w:w="80" w:type="dxa"/>
            <w:vAlign w:val="bottom"/>
            <w:tcBorders>
              <w:bottom w:val="single" w:sz="8" w:color="FF4400"/>
            </w:tcBorders>
          </w:tcPr>
          <w:p>
            <w:pPr>
              <w:spacing w:after="0"/>
              <w:rPr>
                <w:sz w:val="17"/>
                <w:szCs w:val="17"/>
                <w:color w:val="auto"/>
              </w:rPr>
            </w:pPr>
          </w:p>
        </w:tc>
        <w:tc>
          <w:tcPr>
            <w:tcW w:w="220" w:type="dxa"/>
            <w:vAlign w:val="bottom"/>
            <w:tcBorders>
              <w:bottom w:val="single" w:sz="8" w:color="FF4400"/>
            </w:tcBorders>
          </w:tcPr>
          <w:p>
            <w:pPr>
              <w:spacing w:after="0"/>
              <w:rPr>
                <w:sz w:val="17"/>
                <w:szCs w:val="17"/>
                <w:color w:val="auto"/>
              </w:rPr>
            </w:pPr>
          </w:p>
        </w:tc>
        <w:tc>
          <w:tcPr>
            <w:tcW w:w="1120" w:type="dxa"/>
            <w:vAlign w:val="bottom"/>
            <w:tcBorders>
              <w:bottom w:val="single" w:sz="8" w:color="FF4400"/>
            </w:tcBorders>
          </w:tcPr>
          <w:p>
            <w:pPr>
              <w:jc w:val="right"/>
              <w:ind w:right="402"/>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bottom w:val="single" w:sz="8" w:color="FF4400"/>
            </w:tcBorders>
            <w:gridSpan w:val="2"/>
          </w:tcPr>
          <w:p>
            <w:pPr>
              <w:ind w:left="240"/>
              <w:spacing w:after="0"/>
              <w:rPr>
                <w:sz w:val="20"/>
                <w:szCs w:val="20"/>
                <w:color w:val="auto"/>
              </w:rPr>
            </w:pPr>
            <w:r>
              <w:rPr>
                <w:rFonts w:ascii="Arial" w:cs="Arial" w:eastAsia="Arial" w:hAnsi="Arial"/>
                <w:sz w:val="14"/>
                <w:szCs w:val="14"/>
                <w:b w:val="1"/>
                <w:bCs w:val="1"/>
                <w:color w:val="auto"/>
              </w:rPr>
              <w:t>Margin %</w:t>
            </w:r>
          </w:p>
        </w:tc>
        <w:tc>
          <w:tcPr>
            <w:tcW w:w="240" w:type="dxa"/>
            <w:vAlign w:val="bottom"/>
            <w:tcBorders>
              <w:bottom w:val="single" w:sz="8" w:color="FF4400"/>
            </w:tcBorders>
          </w:tcPr>
          <w:p>
            <w:pPr>
              <w:spacing w:after="0"/>
              <w:rPr>
                <w:sz w:val="17"/>
                <w:szCs w:val="17"/>
                <w:color w:val="auto"/>
              </w:rPr>
            </w:pPr>
          </w:p>
        </w:tc>
        <w:tc>
          <w:tcPr>
            <w:tcW w:w="1220" w:type="dxa"/>
            <w:vAlign w:val="bottom"/>
            <w:tcBorders>
              <w:bottom w:val="single" w:sz="8" w:color="FF4400"/>
            </w:tcBorders>
          </w:tcPr>
          <w:p>
            <w:pPr>
              <w:jc w:val="right"/>
              <w:ind w:right="482"/>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FF4400"/>
            </w:tcBorders>
          </w:tcPr>
          <w:p>
            <w:pPr>
              <w:jc w:val="right"/>
              <w:ind w:right="359"/>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175"/>
        </w:trPr>
        <w:tc>
          <w:tcPr>
            <w:tcW w:w="2940" w:type="dxa"/>
            <w:vAlign w:val="bottom"/>
          </w:tcPr>
          <w:p>
            <w:pPr>
              <w:ind w:left="20"/>
              <w:spacing w:after="0" w:line="176" w:lineRule="exact"/>
              <w:rPr>
                <w:sz w:val="20"/>
                <w:szCs w:val="20"/>
                <w:color w:val="auto"/>
              </w:rPr>
            </w:pPr>
            <w:r>
              <w:rPr>
                <w:rFonts w:ascii="Arial" w:cs="Arial" w:eastAsia="Arial" w:hAnsi="Arial"/>
                <w:sz w:val="18"/>
                <w:szCs w:val="18"/>
                <w:color w:val="auto"/>
              </w:rPr>
              <w:t>Segment profit/Segment adjusted</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222"/>
              <w:spacing w:after="0"/>
              <w:rPr>
                <w:sz w:val="20"/>
                <w:szCs w:val="20"/>
                <w:color w:val="auto"/>
              </w:rPr>
            </w:pPr>
            <w:r>
              <w:rPr>
                <w:rFonts w:ascii="Arial" w:cs="Arial" w:eastAsia="Arial" w:hAnsi="Arial"/>
                <w:sz w:val="18"/>
                <w:szCs w:val="18"/>
                <w:color w:val="auto"/>
              </w:rPr>
              <w:t>1,395</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28 %</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62"/>
              <w:spacing w:after="0"/>
              <w:rPr>
                <w:sz w:val="20"/>
                <w:szCs w:val="20"/>
                <w:color w:val="auto"/>
              </w:rPr>
            </w:pPr>
            <w:r>
              <w:rPr>
                <w:rFonts w:ascii="Arial" w:cs="Arial" w:eastAsia="Arial" w:hAnsi="Arial"/>
                <w:sz w:val="18"/>
                <w:szCs w:val="18"/>
                <w:color w:val="auto"/>
              </w:rPr>
              <w:t>748</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222"/>
              <w:spacing w:after="0"/>
              <w:rPr>
                <w:sz w:val="20"/>
                <w:szCs w:val="20"/>
                <w:color w:val="auto"/>
              </w:rPr>
            </w:pPr>
            <w:r>
              <w:rPr>
                <w:rFonts w:ascii="Arial" w:cs="Arial" w:eastAsia="Arial" w:hAnsi="Arial"/>
                <w:sz w:val="18"/>
                <w:szCs w:val="18"/>
                <w:color w:val="auto"/>
              </w:rPr>
              <w:t>1,184</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29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EBIT</w:t>
            </w:r>
          </w:p>
        </w:tc>
        <w:tc>
          <w:tcPr>
            <w:tcW w:w="220" w:type="dxa"/>
            <w:vAlign w:val="bottom"/>
            <w:tcBorders>
              <w:bottom w:val="single" w:sz="8" w:color="BFBFBF"/>
            </w:tcBorders>
            <w:vMerge w:val="continue"/>
          </w:tcPr>
          <w:p>
            <w:pPr>
              <w:spacing w:after="0"/>
              <w:rPr>
                <w:sz w:val="21"/>
                <w:szCs w:val="21"/>
                <w:color w:val="auto"/>
              </w:rPr>
            </w:pPr>
          </w:p>
        </w:tc>
        <w:tc>
          <w:tcPr>
            <w:tcW w:w="1160" w:type="dxa"/>
            <w:vAlign w:val="bottom"/>
            <w:tcBorders>
              <w:bottom w:val="single" w:sz="8" w:color="BFBFBF"/>
            </w:tcBorders>
            <w:vMerge w:val="continue"/>
          </w:tcPr>
          <w:p>
            <w:pPr>
              <w:spacing w:after="0"/>
              <w:rPr>
                <w:sz w:val="21"/>
                <w:szCs w:val="21"/>
                <w:color w:val="auto"/>
              </w:rPr>
            </w:pPr>
          </w:p>
        </w:tc>
        <w:tc>
          <w:tcPr>
            <w:tcW w:w="1380" w:type="dxa"/>
            <w:vAlign w:val="bottom"/>
            <w:tcBorders>
              <w:bottom w:val="single" w:sz="8" w:color="BFBFBF"/>
            </w:tcBorders>
            <w:vMerge w:val="continue"/>
          </w:tcPr>
          <w:p>
            <w:pPr>
              <w:spacing w:after="0"/>
              <w:rPr>
                <w:sz w:val="21"/>
                <w:szCs w:val="21"/>
                <w:color w:val="auto"/>
              </w:rPr>
            </w:pPr>
          </w:p>
        </w:tc>
        <w:tc>
          <w:tcPr>
            <w:tcW w:w="300" w:type="dxa"/>
            <w:vAlign w:val="bottom"/>
            <w:tcBorders>
              <w:bottom w:val="single" w:sz="8" w:color="BFBFBF"/>
            </w:tcBorders>
            <w:gridSpan w:val="2"/>
            <w:vMerge w:val="continue"/>
          </w:tcPr>
          <w:p>
            <w:pPr>
              <w:spacing w:after="0"/>
              <w:rPr>
                <w:sz w:val="21"/>
                <w:szCs w:val="21"/>
                <w:color w:val="auto"/>
              </w:rPr>
            </w:pPr>
          </w:p>
        </w:tc>
        <w:tc>
          <w:tcPr>
            <w:tcW w:w="1120" w:type="dxa"/>
            <w:vAlign w:val="bottom"/>
            <w:tcBorders>
              <w:bottom w:val="single" w:sz="8" w:color="BFBFBF"/>
            </w:tcBorders>
            <w:vMerge w:val="continue"/>
          </w:tcPr>
          <w:p>
            <w:pPr>
              <w:spacing w:after="0"/>
              <w:rPr>
                <w:sz w:val="21"/>
                <w:szCs w:val="21"/>
                <w:color w:val="auto"/>
              </w:rPr>
            </w:pPr>
          </w:p>
        </w:tc>
        <w:tc>
          <w:tcPr>
            <w:tcW w:w="1200" w:type="dxa"/>
            <w:vAlign w:val="bottom"/>
            <w:tcBorders>
              <w:bottom w:val="single" w:sz="8" w:color="BFBFBF"/>
            </w:tcBorders>
            <w:vMerge w:val="continue"/>
          </w:tcPr>
          <w:p>
            <w:pPr>
              <w:spacing w:after="0"/>
              <w:rPr>
                <w:sz w:val="21"/>
                <w:szCs w:val="21"/>
                <w:color w:val="auto"/>
              </w:rPr>
            </w:pPr>
          </w:p>
        </w:tc>
        <w:tc>
          <w:tcPr>
            <w:tcW w:w="80" w:type="dxa"/>
            <w:vAlign w:val="bottom"/>
            <w:tcBorders>
              <w:bottom w:val="single" w:sz="8" w:color="BFBFBF"/>
            </w:tcBorders>
          </w:tcPr>
          <w:p>
            <w:pPr>
              <w:spacing w:after="0"/>
              <w:rPr>
                <w:sz w:val="21"/>
                <w:szCs w:val="21"/>
                <w:color w:val="auto"/>
              </w:rPr>
            </w:pPr>
          </w:p>
        </w:tc>
        <w:tc>
          <w:tcPr>
            <w:tcW w:w="240" w:type="dxa"/>
            <w:vAlign w:val="bottom"/>
            <w:tcBorders>
              <w:bottom w:val="single" w:sz="8" w:color="BFBFBF"/>
            </w:tcBorders>
            <w:vMerge w:val="continue"/>
          </w:tcPr>
          <w:p>
            <w:pPr>
              <w:spacing w:after="0"/>
              <w:rPr>
                <w:sz w:val="21"/>
                <w:szCs w:val="21"/>
                <w:color w:val="auto"/>
              </w:rPr>
            </w:pPr>
          </w:p>
        </w:tc>
        <w:tc>
          <w:tcPr>
            <w:tcW w:w="1220" w:type="dxa"/>
            <w:vAlign w:val="bottom"/>
            <w:tcBorders>
              <w:bottom w:val="single" w:sz="8" w:color="BFBFBF"/>
            </w:tcBorders>
            <w:vMerge w:val="continue"/>
          </w:tcPr>
          <w:p>
            <w:pPr>
              <w:spacing w:after="0"/>
              <w:rPr>
                <w:sz w:val="21"/>
                <w:szCs w:val="21"/>
                <w:color w:val="auto"/>
              </w:rPr>
            </w:pPr>
          </w:p>
        </w:tc>
        <w:tc>
          <w:tcPr>
            <w:tcW w:w="1380" w:type="dxa"/>
            <w:vAlign w:val="bottom"/>
            <w:tcBorders>
              <w:bottom w:val="single" w:sz="8" w:color="BFBFBF"/>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as part of Honeywell, we were dependent upon Honeywell for its working capital and financing requirements. Honeywell used a centralized approach to cash management and financing of its operations. Our excess cash in participating bank accounts was transferred to Honeywell daily, and Honeywell funded our operating and investing activities as needed. This arrangement was not reflective of the manner in which we would have financed our operations had we been a standalone business separate from Honeywell during the periods presented prior to the Spin-off. Transfers of cash between Honeywell and us have been included within Net transfers to Parent in the Condensed Consolidated Statements of Cash Flows and the Condensed Consolidated Statements of Equity.</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Following our Spin-off, we no longer participate in Honeywell’s centralized treasury management and funding programs. Our ability to fund our operating needs depends on our ability to continue to generate positive cash flows from operations, and on our ability to obtain debt or equity financing on acceptable terms. We believe that our cash balances and funds provided by operating activities, along with expected borrowing capacity and access to capital markets, taken as a whole, will provide (i) adequate liquidity to meet all of our</w:t>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51" w:name="page52"/>
    <w:bookmarkEnd w:id="51"/>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current and long-term obligations when due, including for at least the next 12 months, and fund capital expenditures and (ii) flexibility to make investment opportunities, including acquisitions, that may arise. However, there can be no assurance that we will be able to obtain additional debt or equity financing on acceptable terms in the future.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to utilize our cash flows to continue to invest in our business, growth strategies, people, and the communities in which we operate; service and repay our indebtedness over time; and create shareholder value through dividends and share repurchases.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Spin-off, we issued senior unsecured notes in an aggregate principal amount of $16.0 billion. We distributed $6.0 billion of notes due 2046, 2056, and 2066 and $9.1 billion of net cash proceeds from the remaining series of senior unsecured notes to Honeywell as partial consideration for the contribution of assets by Honeywell to us in connection with the distribution. The balance was retained to pay fees and expenses related to the separation, the distribution, the debt transactions, and for general corporate purposes.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entered into a 364-day senior unsecured revolving credit facility and a five-year senior unsecured revolving credit facility, together in an aggregate committed amount as of the date of distribution of $4.0 billion, and a $4.0 billion senior unsecured commercial paper program. The undrawn portion of the credit facilities serves as a backup facility for the issuance of the commercial paper program. We expect to use proceeds from the senior unsecured revolving credit facilities and senior unsecured commercial paper program for general corporate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Requirements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Summary</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26, 2026 and December 31, 2025, our cash and cash equivalents totaled $1.6 billion and $213 million, respectively. Our ability to generate positive cash flows from operations is dependent on general economic conditions and the competitive environment in our industry and is subject to the business and other risk factors described in the section of the Information Statement titled “Risk Factors.” If we are unable to generate sufficient cash flows from operations or otherwise comply with the terms of any external borrowings, we may be required to seek additional financing alternatives.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continually assess the relative strength of each business in our portfolio as to strategic fit, industry position, profit, and cash flow contribution to identify target investment and acquisition opportunities that would strengthen our portfolio. We identify acquisition candidates that will further our strategic plan and strengthen our existing core businesses.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Repurchase Program</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23, 2026, our Board of Directors authorized a share repurchase program under which we may repurchase up to $3.5 billion of our outstanding common stock. The program has no expiration date and may be modified, suspended, or discontinued at any time without prior notice, and it does not obligate us to repurchase any shares. We expect to fund repurchases from operating cash flows and available liquidity. The program is intended to return capital to shareholders and offset dilution from our equity compensation programs, as well as manage our capital structure. To date, we have not repurchased any shares under the program.</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28, 2026, we announced that our Board of Directors declared a dividend of $0.40 per share of common stock outstanding, payable on December 4, 2026, to shareholders on record as of November 13, 2026. Future dividends, if any, will remain subject to approval and declaration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2" w:name="page53"/>
    <w:bookmarkEnd w:id="52"/>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and Cash Equivalents Held by Foreign Subsidiaries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and cash equivalents held by our foreign subsidiaries were $1.0 billion and $209 million as of September 26, 2026 and December 31, 2025.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Summarized cash flow information for the nine months ended September 26, 2026 and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20" w:type="dxa"/>
            <w:vAlign w:val="bottom"/>
            <w:tcBorders>
              <w:bottom w:val="single" w:sz="8" w:color="FF4400"/>
            </w:tcBorders>
          </w:tcPr>
          <w:p>
            <w:pPr>
              <w:spacing w:after="0"/>
              <w:rPr>
                <w:sz w:val="17"/>
                <w:szCs w:val="17"/>
                <w:color w:val="auto"/>
              </w:rPr>
            </w:pPr>
          </w:p>
        </w:tc>
        <w:tc>
          <w:tcPr>
            <w:tcW w:w="3140" w:type="dxa"/>
            <w:vAlign w:val="bottom"/>
            <w:tcBorders>
              <w:bottom w:val="single" w:sz="8" w:color="FF4400"/>
            </w:tcBorders>
            <w:gridSpan w:val="3"/>
          </w:tcPr>
          <w:p>
            <w:pPr>
              <w:jc w:val="right"/>
              <w:ind w:right="875"/>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980" w:type="dxa"/>
            <w:vAlign w:val="bottom"/>
            <w:tcBorders>
              <w:bottom w:val="single" w:sz="8" w:color="FF4400"/>
            </w:tcBorders>
          </w:tcPr>
          <w:p>
            <w:pPr>
              <w:spacing w:after="0"/>
              <w:rPr>
                <w:sz w:val="17"/>
                <w:szCs w:val="17"/>
                <w:color w:val="auto"/>
              </w:rPr>
            </w:pPr>
          </w:p>
        </w:tc>
        <w:tc>
          <w:tcPr>
            <w:tcW w:w="120" w:type="dxa"/>
            <w:vAlign w:val="bottom"/>
            <w:tcBorders>
              <w:bottom w:val="single" w:sz="8" w:color="FF4400"/>
            </w:tcBorders>
          </w:tcPr>
          <w:p>
            <w:pPr>
              <w:spacing w:after="0"/>
              <w:rPr>
                <w:sz w:val="17"/>
                <w:szCs w:val="17"/>
                <w:color w:val="auto"/>
              </w:rPr>
            </w:pPr>
          </w:p>
        </w:tc>
        <w:tc>
          <w:tcPr>
            <w:tcW w:w="1500" w:type="dxa"/>
            <w:vAlign w:val="bottom"/>
            <w:tcBorders>
              <w:bottom w:val="single" w:sz="8" w:color="FF4400"/>
            </w:tcBorders>
          </w:tcPr>
          <w:p>
            <w:pPr>
              <w:jc w:val="right"/>
              <w:ind w:right="77"/>
              <w:spacing w:after="0"/>
              <w:rPr>
                <w:sz w:val="20"/>
                <w:szCs w:val="20"/>
                <w:color w:val="auto"/>
              </w:rPr>
            </w:pPr>
            <w:r>
              <w:rPr>
                <w:rFonts w:ascii="Arial" w:cs="Arial" w:eastAsia="Arial" w:hAnsi="Arial"/>
                <w:sz w:val="14"/>
                <w:szCs w:val="14"/>
                <w:b w:val="1"/>
                <w:bCs w:val="1"/>
                <w:color w:val="auto"/>
              </w:rPr>
              <w:t>September 26, 2026</w:t>
            </w:r>
          </w:p>
        </w:tc>
        <w:tc>
          <w:tcPr>
            <w:tcW w:w="180" w:type="dxa"/>
            <w:vAlign w:val="bottom"/>
            <w:tcBorders>
              <w:bottom w:val="single" w:sz="8" w:color="FF4400"/>
            </w:tcBorders>
          </w:tcPr>
          <w:p>
            <w:pPr>
              <w:spacing w:after="0"/>
              <w:rPr>
                <w:sz w:val="17"/>
                <w:szCs w:val="17"/>
                <w:color w:val="auto"/>
              </w:rPr>
            </w:pPr>
          </w:p>
        </w:tc>
        <w:tc>
          <w:tcPr>
            <w:tcW w:w="1460" w:type="dxa"/>
            <w:vAlign w:val="bottom"/>
            <w:tcBorders>
              <w:bottom w:val="single" w:sz="8" w:color="FF4400"/>
            </w:tcBorders>
          </w:tcPr>
          <w:p>
            <w:pPr>
              <w:jc w:val="right"/>
              <w:ind w:right="35"/>
              <w:spacing w:after="0"/>
              <w:rPr>
                <w:sz w:val="20"/>
                <w:szCs w:val="20"/>
                <w:color w:val="auto"/>
              </w:rPr>
            </w:pPr>
            <w:r>
              <w:rPr>
                <w:rFonts w:ascii="Arial" w:cs="Arial" w:eastAsia="Arial" w:hAnsi="Arial"/>
                <w:sz w:val="14"/>
                <w:szCs w:val="14"/>
                <w:b w:val="1"/>
                <w:bCs w:val="1"/>
                <w:color w:val="auto"/>
              </w:rPr>
              <w:t>September 27, 2025</w:t>
            </w:r>
          </w:p>
        </w:tc>
      </w:tr>
      <w:tr>
        <w:trPr>
          <w:trHeight w:val="224"/>
        </w:trPr>
        <w:tc>
          <w:tcPr>
            <w:tcW w:w="79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BFBFBF"/>
            </w:tcBorders>
          </w:tcPr>
          <w:p>
            <w:pPr>
              <w:jc w:val="right"/>
              <w:ind w:right="37"/>
              <w:spacing w:after="0"/>
              <w:rPr>
                <w:sz w:val="20"/>
                <w:szCs w:val="20"/>
                <w:color w:val="auto"/>
              </w:rPr>
            </w:pPr>
            <w:r>
              <w:rPr>
                <w:rFonts w:ascii="Arial" w:cs="Arial" w:eastAsia="Arial" w:hAnsi="Arial"/>
                <w:sz w:val="18"/>
                <w:szCs w:val="18"/>
                <w:color w:val="auto"/>
              </w:rPr>
              <w:t>1,014</w:t>
            </w:r>
          </w:p>
        </w:tc>
        <w:tc>
          <w:tcPr>
            <w:tcW w:w="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1,864</w:t>
            </w:r>
          </w:p>
        </w:tc>
      </w:tr>
      <w:tr>
        <w:trPr>
          <w:trHeight w:val="223"/>
        </w:trPr>
        <w:tc>
          <w:tcPr>
            <w:tcW w:w="79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cash used for investing activities</w:t>
            </w:r>
          </w:p>
        </w:tc>
        <w:tc>
          <w:tcPr>
            <w:tcW w:w="120" w:type="dxa"/>
            <w:vAlign w:val="bottom"/>
            <w:tcBorders>
              <w:bottom w:val="single" w:sz="8" w:color="BFBFBF"/>
            </w:tcBorders>
          </w:tcPr>
          <w:p>
            <w:pPr>
              <w:spacing w:after="0"/>
              <w:rPr>
                <w:sz w:val="19"/>
                <w:szCs w:val="19"/>
                <w:color w:val="auto"/>
              </w:rPr>
            </w:pPr>
          </w:p>
        </w:tc>
        <w:tc>
          <w:tcPr>
            <w:tcW w:w="15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(392)</w:t>
            </w:r>
          </w:p>
        </w:tc>
      </w:tr>
      <w:tr>
        <w:trPr>
          <w:trHeight w:val="223"/>
        </w:trPr>
        <w:tc>
          <w:tcPr>
            <w:tcW w:w="79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120" w:type="dxa"/>
            <w:vAlign w:val="bottom"/>
            <w:tcBorders>
              <w:bottom w:val="single" w:sz="8" w:color="BFBFBF"/>
            </w:tcBorders>
          </w:tcPr>
          <w:p>
            <w:pPr>
              <w:spacing w:after="0"/>
              <w:rPr>
                <w:sz w:val="19"/>
                <w:szCs w:val="19"/>
                <w:color w:val="auto"/>
              </w:rPr>
            </w:pPr>
          </w:p>
        </w:tc>
        <w:tc>
          <w:tcPr>
            <w:tcW w:w="1500" w:type="dxa"/>
            <w:vAlign w:val="bottom"/>
            <w:tcBorders>
              <w:bottom w:val="single" w:sz="8" w:color="BFBFBF"/>
            </w:tcBorders>
          </w:tcPr>
          <w:p>
            <w:pPr>
              <w:jc w:val="right"/>
              <w:ind w:right="37"/>
              <w:spacing w:after="0"/>
              <w:rPr>
                <w:sz w:val="20"/>
                <w:szCs w:val="20"/>
                <w:color w:val="auto"/>
              </w:rPr>
            </w:pPr>
            <w:r>
              <w:rPr>
                <w:rFonts w:ascii="Arial" w:cs="Arial" w:eastAsia="Arial" w:hAnsi="Arial"/>
                <w:sz w:val="18"/>
                <w:szCs w:val="18"/>
                <w:color w:val="auto"/>
              </w:rPr>
              <w:t>739</w:t>
            </w:r>
          </w:p>
        </w:tc>
        <w:tc>
          <w:tcPr>
            <w:tcW w:w="180" w:type="dxa"/>
            <w:vAlign w:val="bottom"/>
            <w:tcBorders>
              <w:bottom w:val="single" w:sz="8" w:color="BFBFBF"/>
            </w:tcBorders>
          </w:tcPr>
          <w:p>
            <w:pPr>
              <w:spacing w:after="0"/>
              <w:rPr>
                <w:sz w:val="19"/>
                <w:szCs w:val="19"/>
                <w:color w:val="auto"/>
              </w:rPr>
            </w:pPr>
          </w:p>
        </w:tc>
        <w:tc>
          <w:tcPr>
            <w:tcW w:w="14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(1,265)</w:t>
            </w: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operating activities decreased $850 million for the nine months ended September 26, 2026 compared to the same period in 2025. The decrease in net cash provided by operating activities is primarily attributable to increases of $391 million in interest payments on debt, $380 million in transaction costs paid related to the Spin-off, and $377 million driven by the Flexjet litigation settlement payments, partially offset by $159 million due to timing of customer cash collections.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for investing activities remained flat for the nine months ended September 26, 2026 compared to the same period in 2025.</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w:t>
      </w:r>
    </w:p>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cash provided by financing activities increased $2.0 billion for the nine months ended September 26, 2026 compared to the same period in 2025, primarily due to net proceeds from the issuance of senior unsecured notes in connection with the Spin-off of $15.8 billion, partially offset by higher net transfers to Honeywell of $13.9 billion.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leverage a variety of debt instruments to manage our overall borrowing costs. As of September 26, 2026, our total borrowings were $15.9 billion. We had immaterial borrowings outstanding as of December 31,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Borders>
              <w:bottom w:val="single" w:sz="8" w:color="FF4400"/>
            </w:tcBorders>
          </w:tcPr>
          <w:p>
            <w:pPr>
              <w:spacing w:after="0"/>
              <w:rPr>
                <w:sz w:val="17"/>
                <w:szCs w:val="17"/>
                <w:color w:val="auto"/>
              </w:rPr>
            </w:pPr>
          </w:p>
        </w:tc>
        <w:tc>
          <w:tcPr>
            <w:tcW w:w="3060" w:type="dxa"/>
            <w:vAlign w:val="bottom"/>
            <w:tcBorders>
              <w:bottom w:val="single" w:sz="8" w:color="FF4400"/>
            </w:tcBorders>
          </w:tcPr>
          <w:p>
            <w:pPr>
              <w:spacing w:after="0"/>
              <w:rPr>
                <w:sz w:val="17"/>
                <w:szCs w:val="17"/>
                <w:color w:val="auto"/>
              </w:rPr>
            </w:pPr>
          </w:p>
        </w:tc>
        <w:tc>
          <w:tcPr>
            <w:tcW w:w="1760" w:type="dxa"/>
            <w:vAlign w:val="bottom"/>
            <w:tcBorders>
              <w:bottom w:val="single" w:sz="8" w:color="FF4400"/>
            </w:tcBorders>
          </w:tcPr>
          <w:p>
            <w:pPr>
              <w:jc w:val="right"/>
              <w:ind w:right="253"/>
              <w:spacing w:after="0"/>
              <w:rPr>
                <w:sz w:val="20"/>
                <w:szCs w:val="20"/>
                <w:color w:val="auto"/>
              </w:rPr>
            </w:pPr>
            <w:r>
              <w:rPr>
                <w:rFonts w:ascii="Arial" w:cs="Arial" w:eastAsia="Arial" w:hAnsi="Arial"/>
                <w:sz w:val="14"/>
                <w:szCs w:val="14"/>
                <w:b w:val="1"/>
                <w:bCs w:val="1"/>
                <w:color w:val="auto"/>
              </w:rPr>
              <w:t>September 26, 2026</w:t>
            </w:r>
          </w:p>
        </w:tc>
        <w:tc>
          <w:tcPr>
            <w:tcW w:w="240" w:type="dxa"/>
            <w:vAlign w:val="bottom"/>
            <w:tcBorders>
              <w:bottom w:val="single" w:sz="8" w:color="FF4400"/>
            </w:tcBorders>
          </w:tcPr>
          <w:p>
            <w:pPr>
              <w:spacing w:after="0"/>
              <w:rPr>
                <w:sz w:val="17"/>
                <w:szCs w:val="17"/>
                <w:color w:val="auto"/>
              </w:rPr>
            </w:pPr>
          </w:p>
        </w:tc>
        <w:tc>
          <w:tcPr>
            <w:tcW w:w="1640" w:type="dxa"/>
            <w:vAlign w:val="bottom"/>
            <w:tcBorders>
              <w:bottom w:val="single" w:sz="8" w:color="FF4400"/>
            </w:tcBorders>
          </w:tcPr>
          <w:p>
            <w:pPr>
              <w:jc w:val="right"/>
              <w:ind w:right="193"/>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45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Fixed rate notes</w:t>
            </w:r>
          </w:p>
        </w:tc>
        <w:tc>
          <w:tcPr>
            <w:tcW w:w="30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BFBFBF"/>
            </w:tcBorders>
          </w:tcPr>
          <w:p>
            <w:pPr>
              <w:jc w:val="right"/>
              <w:ind w:right="33"/>
              <w:spacing w:after="0"/>
              <w:rPr>
                <w:sz w:val="20"/>
                <w:szCs w:val="20"/>
                <w:color w:val="auto"/>
              </w:rPr>
            </w:pPr>
            <w:r>
              <w:rPr>
                <w:rFonts w:ascii="Arial" w:cs="Arial" w:eastAsia="Arial" w:hAnsi="Arial"/>
                <w:sz w:val="18"/>
                <w:szCs w:val="18"/>
                <w:color w:val="auto"/>
              </w:rPr>
              <w:t>15,500</w:t>
            </w:r>
          </w:p>
        </w:tc>
        <w:tc>
          <w:tcPr>
            <w:tcW w:w="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Variable rate notes</w:t>
            </w:r>
          </w:p>
        </w:tc>
        <w:tc>
          <w:tcPr>
            <w:tcW w:w="3060" w:type="dxa"/>
            <w:vAlign w:val="bottom"/>
            <w:tcBorders>
              <w:bottom w:val="single" w:sz="8" w:color="BFBFBF"/>
            </w:tcBorders>
          </w:tcPr>
          <w:p>
            <w:pPr>
              <w:spacing w:after="0"/>
              <w:rPr>
                <w:sz w:val="19"/>
                <w:szCs w:val="19"/>
                <w:color w:val="auto"/>
              </w:rPr>
            </w:pPr>
          </w:p>
        </w:tc>
        <w:tc>
          <w:tcPr>
            <w:tcW w:w="1760" w:type="dxa"/>
            <w:vAlign w:val="bottom"/>
            <w:tcBorders>
              <w:bottom w:val="single" w:sz="8" w:color="BFBFBF"/>
            </w:tcBorders>
          </w:tcPr>
          <w:p>
            <w:pPr>
              <w:jc w:val="right"/>
              <w:ind w:right="33"/>
              <w:spacing w:after="0"/>
              <w:rPr>
                <w:sz w:val="20"/>
                <w:szCs w:val="20"/>
                <w:color w:val="auto"/>
              </w:rPr>
            </w:pPr>
            <w:r>
              <w:rPr>
                <w:rFonts w:ascii="Arial" w:cs="Arial" w:eastAsia="Arial" w:hAnsi="Arial"/>
                <w:sz w:val="18"/>
                <w:szCs w:val="18"/>
                <w:color w:val="auto"/>
              </w:rPr>
              <w:t>500</w:t>
            </w:r>
          </w:p>
        </w:tc>
        <w:tc>
          <w:tcPr>
            <w:tcW w:w="240" w:type="dxa"/>
            <w:vAlign w:val="bottom"/>
            <w:tcBorders>
              <w:bottom w:val="single" w:sz="8" w:color="BFBFBF"/>
            </w:tcBorders>
          </w:tcPr>
          <w:p>
            <w:pPr>
              <w:spacing w:after="0"/>
              <w:rPr>
                <w:sz w:val="19"/>
                <w:szCs w:val="19"/>
                <w:color w:val="auto"/>
              </w:rPr>
            </w:pPr>
          </w:p>
        </w:tc>
        <w:tc>
          <w:tcPr>
            <w:tcW w:w="1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BFBFBF"/>
            </w:tcBorders>
          </w:tcPr>
          <w:p>
            <w:pPr>
              <w:spacing w:after="0"/>
              <w:rPr>
                <w:sz w:val="19"/>
                <w:szCs w:val="19"/>
                <w:color w:val="auto"/>
              </w:rPr>
            </w:pPr>
          </w:p>
        </w:tc>
        <w:tc>
          <w:tcPr>
            <w:tcW w:w="1760" w:type="dxa"/>
            <w:vAlign w:val="bottom"/>
            <w:tcBorders>
              <w:bottom w:val="single" w:sz="8" w:color="BFBFBF"/>
            </w:tcBorders>
          </w:tcPr>
          <w:p>
            <w:pPr>
              <w:jc w:val="right"/>
              <w:ind w:right="33"/>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BFBFBF"/>
            </w:tcBorders>
          </w:tcPr>
          <w:p>
            <w:pPr>
              <w:spacing w:after="0"/>
              <w:rPr>
                <w:sz w:val="19"/>
                <w:szCs w:val="19"/>
                <w:color w:val="auto"/>
              </w:rPr>
            </w:pPr>
          </w:p>
        </w:tc>
        <w:tc>
          <w:tcPr>
            <w:tcW w:w="1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54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Debt issuance costs</w:t>
            </w:r>
          </w:p>
        </w:tc>
        <w:tc>
          <w:tcPr>
            <w:tcW w:w="3060" w:type="dxa"/>
            <w:vAlign w:val="bottom"/>
            <w:tcBorders>
              <w:bottom w:val="single" w:sz="8" w:color="384348"/>
            </w:tcBorders>
          </w:tcPr>
          <w:p>
            <w:pPr>
              <w:spacing w:after="0"/>
              <w:rPr>
                <w:sz w:val="19"/>
                <w:szCs w:val="19"/>
                <w:color w:val="auto"/>
              </w:rPr>
            </w:pPr>
          </w:p>
        </w:tc>
        <w:tc>
          <w:tcPr>
            <w:tcW w:w="17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Borders>
              <w:bottom w:val="single" w:sz="8" w:color="384348"/>
            </w:tcBorders>
          </w:tcPr>
          <w:p>
            <w:pPr>
              <w:spacing w:after="0"/>
              <w:rPr>
                <w:sz w:val="19"/>
                <w:szCs w:val="19"/>
                <w:color w:val="auto"/>
              </w:rPr>
            </w:pPr>
          </w:p>
        </w:tc>
        <w:tc>
          <w:tcPr>
            <w:tcW w:w="16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Total borrowings</w:t>
            </w:r>
          </w:p>
        </w:tc>
        <w:tc>
          <w:tcPr>
            <w:tcW w:w="30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tcBorders>
              <w:bottom w:val="single" w:sz="8" w:color="384348"/>
            </w:tcBorders>
          </w:tcPr>
          <w:p>
            <w:pPr>
              <w:jc w:val="right"/>
              <w:ind w:right="33"/>
              <w:spacing w:after="0"/>
              <w:rPr>
                <w:sz w:val="20"/>
                <w:szCs w:val="20"/>
                <w:color w:val="auto"/>
              </w:rPr>
            </w:pPr>
            <w:r>
              <w:rPr>
                <w:rFonts w:ascii="Arial" w:cs="Arial" w:eastAsia="Arial" w:hAnsi="Arial"/>
                <w:sz w:val="18"/>
                <w:szCs w:val="18"/>
                <w:b w:val="1"/>
                <w:bCs w:val="1"/>
                <w:color w:val="auto"/>
              </w:rPr>
              <w:t>15,856</w:t>
            </w:r>
          </w:p>
        </w:tc>
        <w:tc>
          <w:tcPr>
            <w:tcW w:w="2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9</w:t>
            </w: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key source of liquidity is our ability to access the corporate bond markets. Through these markets, we issue a variety of long-term fixed rate and variable rate notes to manage our overall funding costs.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Another key source of liquidity is our ability to access the commercial paper market. Commercial paper notes are sold at par less a discount representing an interest factor, or if interest bearing, at par, and have a maturity of not more than 397 days from date of issuance. Borrowings under the commercial paper program are available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3" w:name="page54"/>
    <w:bookmarkEnd w:id="53"/>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also have the following revolving credit agreements:</w:t>
      </w:r>
    </w:p>
    <w:p>
      <w:pPr>
        <w:spacing w:after="0" w:line="171" w:lineRule="exact"/>
        <w:rPr>
          <w:sz w:val="20"/>
          <w:szCs w:val="20"/>
          <w:color w:val="auto"/>
        </w:rPr>
      </w:pPr>
    </w:p>
    <w:p>
      <w:pPr>
        <w:jc w:val="both"/>
        <w:ind w:left="200" w:hanging="192"/>
        <w:spacing w:after="0" w:line="259" w:lineRule="auto"/>
        <w:tabs>
          <w:tab w:leader="none" w:pos="163"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 $1.0 billion 364-day credit agreement (the 364-Day Credit Agreement) with a syndicate of banks, dated as of March 6, 2026. Amounts borrowed under the 364-Day Credit Agreement are required to be repaid no later than March 5, 2027, unless (i) we elect to convert all then outstanding amounts into a term loan, upon which such amounts shall be repaid in full on March 5, 2028, or (ii) the 364-Day Credit Agreement is terminated earlier pursuant to its terms. As of September 26, 2026, there were no outstanding borrowings under our 364-Day Credit Agreement.</w:t>
      </w:r>
    </w:p>
    <w:p>
      <w:pPr>
        <w:spacing w:after="0" w:line="30" w:lineRule="exact"/>
        <w:rPr>
          <w:rFonts w:ascii="Arial" w:cs="Arial" w:eastAsia="Arial" w:hAnsi="Arial"/>
          <w:sz w:val="18"/>
          <w:szCs w:val="18"/>
          <w:b w:val="1"/>
          <w:bCs w:val="1"/>
          <w:color w:val="auto"/>
        </w:rPr>
      </w:pPr>
    </w:p>
    <w:p>
      <w:pPr>
        <w:ind w:left="200" w:hanging="192"/>
        <w:spacing w:after="0" w:line="287" w:lineRule="auto"/>
        <w:tabs>
          <w:tab w:leader="none" w:pos="17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$3.0 billion five-year credit agreement (the Five-Year Credit Agreement) with a syndicate of banks, dated as of March 6, 2026. As of September 26, 2026, there were no outstanding borrowings under our Five-Year Credit Agreement.</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9. Debt and Credit Agreements</w:t>
      </w:r>
      <w:r>
        <w:rPr>
          <w:rFonts w:ascii="Arial" w:cs="Arial" w:eastAsia="Arial" w:hAnsi="Arial"/>
          <w:sz w:val="18"/>
          <w:szCs w:val="18"/>
          <w:color w:val="auto"/>
        </w:rPr>
        <w:t xml:space="preserve"> of the Notes to the Condensed Consolidated Financial Statements for additional information regarding our debt instruments.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ability to access the global debt capital markets and the related cost of these borrowings is affected by the strength of our credit rating and market conditions. Our credit ratings are periodically reviewed by the major independent debt rating agencies. As of September 26, 2026, S&amp;P Global Ratings (“S&amp;P”), Fitch Ratings Inc. (“Fitch”), and Moody’s Investors Service (“Moody’s”) had ratings on our debt set forth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40" w:type="dxa"/>
            <w:vAlign w:val="bottom"/>
            <w:tcBorders>
              <w:bottom w:val="single" w:sz="8" w:color="FF4400"/>
            </w:tcBorders>
          </w:tcPr>
          <w:p>
            <w:pPr>
              <w:spacing w:after="0"/>
              <w:rPr>
                <w:sz w:val="20"/>
                <w:szCs w:val="20"/>
                <w:color w:val="auto"/>
              </w:rPr>
            </w:pPr>
          </w:p>
        </w:tc>
        <w:tc>
          <w:tcPr>
            <w:tcW w:w="3320" w:type="dxa"/>
            <w:vAlign w:val="bottom"/>
            <w:tcBorders>
              <w:bottom w:val="single" w:sz="8" w:color="FF4400"/>
            </w:tcBorders>
          </w:tcPr>
          <w:p>
            <w:pPr>
              <w:jc w:val="center"/>
              <w:ind w:left="850"/>
              <w:spacing w:after="0"/>
              <w:rPr>
                <w:sz w:val="20"/>
                <w:szCs w:val="20"/>
                <w:color w:val="auto"/>
              </w:rPr>
            </w:pPr>
            <w:r>
              <w:rPr>
                <w:rFonts w:ascii="Arial" w:cs="Arial" w:eastAsia="Arial" w:hAnsi="Arial"/>
                <w:sz w:val="18"/>
                <w:szCs w:val="18"/>
                <w:b w:val="1"/>
                <w:bCs w:val="1"/>
                <w:color w:val="auto"/>
              </w:rPr>
              <w:t>S&amp;P</w:t>
            </w:r>
          </w:p>
        </w:tc>
        <w:tc>
          <w:tcPr>
            <w:tcW w:w="2240" w:type="dxa"/>
            <w:vAlign w:val="bottom"/>
            <w:tcBorders>
              <w:bottom w:val="single" w:sz="8" w:color="FF4400"/>
            </w:tcBorders>
          </w:tcPr>
          <w:p>
            <w:pPr>
              <w:jc w:val="center"/>
              <w:spacing w:after="0"/>
              <w:rPr>
                <w:sz w:val="20"/>
                <w:szCs w:val="20"/>
                <w:color w:val="auto"/>
              </w:rPr>
            </w:pPr>
            <w:r>
              <w:rPr>
                <w:rFonts w:ascii="Arial" w:cs="Arial" w:eastAsia="Arial" w:hAnsi="Arial"/>
                <w:sz w:val="18"/>
                <w:szCs w:val="18"/>
                <w:b w:val="1"/>
                <w:bCs w:val="1"/>
                <w:color w:val="auto"/>
                <w:w w:val="97"/>
              </w:rPr>
              <w:t>Fitch</w:t>
            </w:r>
          </w:p>
        </w:tc>
        <w:tc>
          <w:tcPr>
            <w:tcW w:w="2340" w:type="dxa"/>
            <w:vAlign w:val="bottom"/>
            <w:tcBorders>
              <w:bottom w:val="single" w:sz="8" w:color="FF4400"/>
            </w:tcBorders>
          </w:tcPr>
          <w:p>
            <w:pPr>
              <w:jc w:val="center"/>
              <w:ind w:left="10"/>
              <w:spacing w:after="0"/>
              <w:rPr>
                <w:sz w:val="20"/>
                <w:szCs w:val="20"/>
                <w:color w:val="auto"/>
              </w:rPr>
            </w:pPr>
            <w:r>
              <w:rPr>
                <w:rFonts w:ascii="Arial" w:cs="Arial" w:eastAsia="Arial" w:hAnsi="Arial"/>
                <w:sz w:val="18"/>
                <w:szCs w:val="18"/>
                <w:b w:val="1"/>
                <w:bCs w:val="1"/>
                <w:color w:val="auto"/>
                <w:w w:val="98"/>
              </w:rPr>
              <w:t>Moody’s</w:t>
            </w:r>
          </w:p>
        </w:tc>
      </w:tr>
      <w:tr>
        <w:trPr>
          <w:trHeight w:val="223"/>
        </w:trPr>
        <w:tc>
          <w:tcPr>
            <w:tcW w:w="33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Outlook</w:t>
            </w:r>
          </w:p>
        </w:tc>
        <w:tc>
          <w:tcPr>
            <w:tcW w:w="3320" w:type="dxa"/>
            <w:vAlign w:val="bottom"/>
            <w:tcBorders>
              <w:bottom w:val="single" w:sz="8" w:color="BFBFBF"/>
            </w:tcBorders>
          </w:tcPr>
          <w:p>
            <w:pPr>
              <w:jc w:val="center"/>
              <w:ind w:left="850"/>
              <w:spacing w:after="0"/>
              <w:rPr>
                <w:sz w:val="20"/>
                <w:szCs w:val="20"/>
                <w:color w:val="auto"/>
              </w:rPr>
            </w:pPr>
            <w:r>
              <w:rPr>
                <w:rFonts w:ascii="Arial" w:cs="Arial" w:eastAsia="Arial" w:hAnsi="Arial"/>
                <w:sz w:val="18"/>
                <w:szCs w:val="18"/>
                <w:color w:val="auto"/>
                <w:w w:val="98"/>
              </w:rPr>
              <w:t>Positive</w:t>
            </w:r>
          </w:p>
        </w:tc>
        <w:tc>
          <w:tcPr>
            <w:tcW w:w="2240" w:type="dxa"/>
            <w:vAlign w:val="bottom"/>
            <w:tcBorders>
              <w:bottom w:val="single" w:sz="8" w:color="BFBFBF"/>
            </w:tcBorders>
          </w:tcPr>
          <w:p>
            <w:pPr>
              <w:jc w:val="center"/>
              <w:spacing w:after="0"/>
              <w:rPr>
                <w:sz w:val="20"/>
                <w:szCs w:val="20"/>
                <w:color w:val="auto"/>
              </w:rPr>
            </w:pPr>
            <w:r>
              <w:rPr>
                <w:rFonts w:ascii="Arial" w:cs="Arial" w:eastAsia="Arial" w:hAnsi="Arial"/>
                <w:sz w:val="18"/>
                <w:szCs w:val="18"/>
                <w:color w:val="auto"/>
                <w:w w:val="97"/>
              </w:rPr>
              <w:t>Stable</w:t>
            </w:r>
          </w:p>
        </w:tc>
        <w:tc>
          <w:tcPr>
            <w:tcW w:w="2340" w:type="dxa"/>
            <w:vAlign w:val="bottom"/>
            <w:tcBorders>
              <w:bottom w:val="single" w:sz="8" w:color="BFBFBF"/>
            </w:tcBorders>
          </w:tcPr>
          <w:p>
            <w:pPr>
              <w:jc w:val="center"/>
              <w:ind w:left="10"/>
              <w:spacing w:after="0"/>
              <w:rPr>
                <w:sz w:val="20"/>
                <w:szCs w:val="20"/>
                <w:color w:val="auto"/>
              </w:rPr>
            </w:pPr>
            <w:r>
              <w:rPr>
                <w:rFonts w:ascii="Arial" w:cs="Arial" w:eastAsia="Arial" w:hAnsi="Arial"/>
                <w:sz w:val="18"/>
                <w:szCs w:val="18"/>
                <w:color w:val="auto"/>
              </w:rPr>
              <w:t>Stable</w:t>
            </w:r>
          </w:p>
        </w:tc>
      </w:tr>
      <w:tr>
        <w:trPr>
          <w:trHeight w:val="223"/>
        </w:trPr>
        <w:tc>
          <w:tcPr>
            <w:tcW w:w="33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Short-term</w:t>
            </w:r>
          </w:p>
        </w:tc>
        <w:tc>
          <w:tcPr>
            <w:tcW w:w="3320" w:type="dxa"/>
            <w:vAlign w:val="bottom"/>
            <w:tcBorders>
              <w:bottom w:val="single" w:sz="8" w:color="BFBFBF"/>
            </w:tcBorders>
          </w:tcPr>
          <w:p>
            <w:pPr>
              <w:jc w:val="center"/>
              <w:ind w:left="830"/>
              <w:spacing w:after="0"/>
              <w:rPr>
                <w:sz w:val="20"/>
                <w:szCs w:val="20"/>
                <w:color w:val="auto"/>
              </w:rPr>
            </w:pPr>
            <w:r>
              <w:rPr>
                <w:rFonts w:ascii="Arial" w:cs="Arial" w:eastAsia="Arial" w:hAnsi="Arial"/>
                <w:sz w:val="18"/>
                <w:szCs w:val="18"/>
                <w:color w:val="auto"/>
                <w:w w:val="99"/>
              </w:rPr>
              <w:t>A-2</w:t>
            </w:r>
          </w:p>
        </w:tc>
        <w:tc>
          <w:tcPr>
            <w:tcW w:w="2240" w:type="dxa"/>
            <w:vAlign w:val="bottom"/>
            <w:tcBorders>
              <w:bottom w:val="single" w:sz="8" w:color="BFBFBF"/>
            </w:tcBorders>
          </w:tcPr>
          <w:p>
            <w:pPr>
              <w:jc w:val="center"/>
              <w:spacing w:after="0"/>
              <w:rPr>
                <w:sz w:val="20"/>
                <w:szCs w:val="20"/>
                <w:color w:val="auto"/>
              </w:rPr>
            </w:pPr>
            <w:r>
              <w:rPr>
                <w:rFonts w:ascii="Arial" w:cs="Arial" w:eastAsia="Arial" w:hAnsi="Arial"/>
                <w:sz w:val="18"/>
                <w:szCs w:val="18"/>
                <w:color w:val="auto"/>
              </w:rPr>
              <w:t>F1</w:t>
            </w:r>
          </w:p>
        </w:tc>
        <w:tc>
          <w:tcPr>
            <w:tcW w:w="2340" w:type="dxa"/>
            <w:vAlign w:val="bottom"/>
            <w:tcBorders>
              <w:bottom w:val="single" w:sz="8" w:color="BFBFBF"/>
            </w:tcBorders>
          </w:tcPr>
          <w:p>
            <w:pPr>
              <w:jc w:val="center"/>
              <w:ind w:left="10"/>
              <w:spacing w:after="0"/>
              <w:rPr>
                <w:sz w:val="20"/>
                <w:szCs w:val="20"/>
                <w:color w:val="auto"/>
              </w:rPr>
            </w:pPr>
            <w:r>
              <w:rPr>
                <w:rFonts w:ascii="Arial" w:cs="Arial" w:eastAsia="Arial" w:hAnsi="Arial"/>
                <w:sz w:val="18"/>
                <w:szCs w:val="18"/>
                <w:color w:val="auto"/>
                <w:w w:val="99"/>
              </w:rPr>
              <w:t>P-2</w:t>
            </w:r>
          </w:p>
        </w:tc>
      </w:tr>
      <w:tr>
        <w:trPr>
          <w:trHeight w:val="223"/>
        </w:trPr>
        <w:tc>
          <w:tcPr>
            <w:tcW w:w="33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Long-term</w:t>
            </w:r>
          </w:p>
        </w:tc>
        <w:tc>
          <w:tcPr>
            <w:tcW w:w="3320" w:type="dxa"/>
            <w:vAlign w:val="bottom"/>
            <w:tcBorders>
              <w:bottom w:val="single" w:sz="8" w:color="BFBFBF"/>
            </w:tcBorders>
          </w:tcPr>
          <w:p>
            <w:pPr>
              <w:jc w:val="center"/>
              <w:ind w:left="850"/>
              <w:spacing w:after="0"/>
              <w:rPr>
                <w:sz w:val="20"/>
                <w:szCs w:val="20"/>
                <w:color w:val="auto"/>
              </w:rPr>
            </w:pPr>
            <w:r>
              <w:rPr>
                <w:rFonts w:ascii="Arial" w:cs="Arial" w:eastAsia="Arial" w:hAnsi="Arial"/>
                <w:sz w:val="18"/>
                <w:szCs w:val="18"/>
                <w:color w:val="auto"/>
                <w:w w:val="98"/>
              </w:rPr>
              <w:t>BBB+</w:t>
            </w:r>
          </w:p>
        </w:tc>
        <w:tc>
          <w:tcPr>
            <w:tcW w:w="2240" w:type="dxa"/>
            <w:vAlign w:val="bottom"/>
            <w:tcBorders>
              <w:bottom w:val="single" w:sz="8" w:color="BFBFBF"/>
            </w:tcBorders>
          </w:tcPr>
          <w:p>
            <w:pPr>
              <w:jc w:val="center"/>
              <w:spacing w:after="0"/>
              <w:rPr>
                <w:sz w:val="20"/>
                <w:szCs w:val="20"/>
                <w:color w:val="auto"/>
              </w:rPr>
            </w:pPr>
            <w:r>
              <w:rPr>
                <w:rFonts w:ascii="Arial" w:cs="Arial" w:eastAsia="Arial" w:hAnsi="Arial"/>
                <w:sz w:val="18"/>
                <w:szCs w:val="18"/>
                <w:color w:val="auto"/>
                <w:w w:val="99"/>
              </w:rPr>
              <w:t>A-</w:t>
            </w:r>
          </w:p>
        </w:tc>
        <w:tc>
          <w:tcPr>
            <w:tcW w:w="2340" w:type="dxa"/>
            <w:vAlign w:val="bottom"/>
            <w:tcBorders>
              <w:bottom w:val="single" w:sz="8" w:color="BFBFBF"/>
            </w:tcBorders>
          </w:tcPr>
          <w:p>
            <w:pPr>
              <w:jc w:val="center"/>
              <w:spacing w:after="0"/>
              <w:rPr>
                <w:sz w:val="20"/>
                <w:szCs w:val="20"/>
                <w:color w:val="auto"/>
              </w:rPr>
            </w:pPr>
            <w:r>
              <w:rPr>
                <w:rFonts w:ascii="Arial" w:cs="Arial" w:eastAsia="Arial" w:hAnsi="Arial"/>
                <w:sz w:val="18"/>
                <w:szCs w:val="18"/>
                <w:color w:val="auto"/>
                <w:w w:val="99"/>
              </w:rPr>
              <w:t>A3</w:t>
            </w:r>
          </w:p>
        </w:tc>
      </w:tr>
      <w:tr>
        <w:trPr>
          <w:trHeight w:val="464"/>
        </w:trPr>
        <w:tc>
          <w:tcPr>
            <w:tcW w:w="334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3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than the item disclosed below, there were no material changes during the three and nine months ended September 26, 2026, to the items disclosed as critical accounting estimates in the section titled “Management’s Discussion and Analysis of Financial Condition and Results of Operations” in the Information Statement.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Benefit Pension Plans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periods prior to the Spin-off, certain employees of Honeywell Aerospace participated in U.S. pension plans sponsored by Honeywell. Following the Spin-off, we sponsor both funded and unfunded U.S. and non-U.S. defined benefit pension plans. For financial reporting purposes, net periodic pension (income) expense is calculated annually based upon various actuarial assumptions, including a discount rate for plan obligations and an expected long-term rate of return on plan assets. Changes in the discount rate and expected long-term rate of return on plan assets could materially affect the pension (income) expense amount. Pension (income) expense is comprised of service and interest cost, assumed return on plan assets, prior service amortization (Pension ongoing (income) expense), and potential mark-to-market adjustment (MTM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4" w:name="page55"/>
    <w:bookmarkEnd w:id="54"/>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key assumptions used in developing our net periodic pension (income) expense for our U.S. plans included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80" w:type="dxa"/>
            <w:vAlign w:val="bottom"/>
            <w:tcBorders>
              <w:bottom w:val="single" w:sz="8" w:color="FF4400"/>
            </w:tcBorders>
          </w:tcPr>
          <w:p>
            <w:pPr>
              <w:spacing w:after="0"/>
              <w:rPr>
                <w:sz w:val="17"/>
                <w:szCs w:val="17"/>
                <w:color w:val="auto"/>
              </w:rPr>
            </w:pPr>
          </w:p>
        </w:tc>
        <w:tc>
          <w:tcPr>
            <w:tcW w:w="5260" w:type="dxa"/>
            <w:vAlign w:val="bottom"/>
            <w:tcBorders>
              <w:bottom w:val="single" w:sz="8" w:color="FF4400"/>
            </w:tcBorders>
          </w:tcPr>
          <w:p>
            <w:pPr>
              <w:jc w:val="right"/>
              <w:ind w:right="254"/>
              <w:spacing w:after="0"/>
              <w:rPr>
                <w:sz w:val="20"/>
                <w:szCs w:val="20"/>
                <w:color w:val="auto"/>
              </w:rPr>
            </w:pPr>
            <w:r>
              <w:rPr>
                <w:rFonts w:ascii="Arial" w:cs="Arial" w:eastAsia="Arial" w:hAnsi="Arial"/>
                <w:sz w:val="14"/>
                <w:szCs w:val="14"/>
                <w:b w:val="1"/>
                <w:bCs w:val="1"/>
                <w:color w:val="auto"/>
              </w:rPr>
              <w:t>September 26, 2026</w:t>
            </w:r>
          </w:p>
        </w:tc>
      </w:tr>
      <w:tr>
        <w:trPr>
          <w:trHeight w:val="224"/>
        </w:trPr>
        <w:tc>
          <w:tcPr>
            <w:tcW w:w="59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Discount rate</w:t>
            </w:r>
          </w:p>
        </w:tc>
        <w:tc>
          <w:tcPr>
            <w:tcW w:w="5260" w:type="dxa"/>
            <w:vAlign w:val="bottom"/>
            <w:tcBorders>
              <w:bottom w:val="single" w:sz="8" w:color="BFBFBF"/>
            </w:tcBorders>
          </w:tcPr>
          <w:p>
            <w:pPr>
              <w:spacing w:after="0"/>
              <w:rPr>
                <w:sz w:val="19"/>
                <w:szCs w:val="19"/>
                <w:color w:val="auto"/>
              </w:rPr>
            </w:pPr>
          </w:p>
        </w:tc>
      </w:tr>
      <w:tr>
        <w:trPr>
          <w:trHeight w:val="223"/>
        </w:trPr>
        <w:tc>
          <w:tcPr>
            <w:tcW w:w="598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Projected benefit obligation</w:t>
            </w:r>
          </w:p>
        </w:tc>
        <w:tc>
          <w:tcPr>
            <w:tcW w:w="52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5.50 %</w:t>
            </w:r>
          </w:p>
        </w:tc>
      </w:tr>
      <w:tr>
        <w:trPr>
          <w:trHeight w:val="223"/>
        </w:trPr>
        <w:tc>
          <w:tcPr>
            <w:tcW w:w="598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Service cost</w:t>
            </w:r>
          </w:p>
        </w:tc>
        <w:tc>
          <w:tcPr>
            <w:tcW w:w="52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5.47 %</w:t>
            </w:r>
          </w:p>
        </w:tc>
      </w:tr>
      <w:tr>
        <w:trPr>
          <w:trHeight w:val="223"/>
        </w:trPr>
        <w:tc>
          <w:tcPr>
            <w:tcW w:w="598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Interest cost</w:t>
            </w:r>
          </w:p>
        </w:tc>
        <w:tc>
          <w:tcPr>
            <w:tcW w:w="52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5.16 %</w:t>
            </w:r>
          </w:p>
        </w:tc>
      </w:tr>
      <w:tr>
        <w:trPr>
          <w:trHeight w:val="223"/>
        </w:trPr>
        <w:tc>
          <w:tcPr>
            <w:tcW w:w="598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Assets</w:t>
            </w:r>
          </w:p>
        </w:tc>
        <w:tc>
          <w:tcPr>
            <w:tcW w:w="5260" w:type="dxa"/>
            <w:vAlign w:val="bottom"/>
            <w:tcBorders>
              <w:bottom w:val="single" w:sz="8" w:color="BFBFBF"/>
            </w:tcBorders>
          </w:tcPr>
          <w:p>
            <w:pPr>
              <w:spacing w:after="0"/>
              <w:rPr>
                <w:sz w:val="19"/>
                <w:szCs w:val="19"/>
                <w:color w:val="auto"/>
              </w:rPr>
            </w:pPr>
          </w:p>
        </w:tc>
      </w:tr>
      <w:tr>
        <w:trPr>
          <w:trHeight w:val="223"/>
        </w:trPr>
        <w:tc>
          <w:tcPr>
            <w:tcW w:w="598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Expected rate of return</w:t>
            </w:r>
          </w:p>
        </w:tc>
        <w:tc>
          <w:tcPr>
            <w:tcW w:w="52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7.25 %</w:t>
            </w: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MTM Adjustment represents the recognition of net actuarial gains or losses in excess of 10% of the greater of the fair value of plan assets or the plans’ projected benefit obligation (the corridor). Net actuarial gains or losses occur when the actual experience differs from any of the various assumptions used to value our pension plans or when assumptions change. The primary factors contributing to actuarial gains or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There was no MTM adjustment in the three months ended September 26, 2026.</w:t>
      </w:r>
    </w:p>
    <w:p>
      <w:pPr>
        <w:spacing w:after="0" w:line="12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 xml:space="preserve">We determine the expected long-term rate of return on plan assets utilizing historical plan asset returns over varying long-term periods combined with our expectations of future market conditions and asset mix considerations (see </w:t>
      </w:r>
      <w:r>
        <w:rPr>
          <w:rFonts w:ascii="Arial" w:cs="Arial" w:eastAsia="Arial" w:hAnsi="Arial"/>
          <w:sz w:val="18"/>
          <w:szCs w:val="18"/>
          <w:u w:val="single" w:color="auto"/>
          <w:color w:val="0000FF"/>
        </w:rPr>
        <w:t>Note 15. Pension Plans</w:t>
      </w:r>
      <w:r>
        <w:rPr>
          <w:rFonts w:ascii="Arial" w:cs="Arial" w:eastAsia="Arial" w:hAnsi="Arial"/>
          <w:sz w:val="18"/>
          <w:szCs w:val="18"/>
          <w:color w:val="auto"/>
        </w:rPr>
        <w:t xml:space="preserve"> of the Notes to the Condensed Consolidated Financial Statements for details on the actual various asset classes and targeted asset allocation percentages for our pension plans). We are using an expected rate of return on plan assets of 7.25% for 2026.</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discount rate reflects the market rate on the measurement date for high-quality fixed income investments with maturities corresponding to our benefit obligations and is subject to change each year. The discount rate can be volatile from year to year as it is determined based upon prevailing interest rates as of the measurement date. We used a 5.50% discount rate to determine benefit obligations as of September 26, 2026.</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Changes in our expected rate of return on plan assets and discount rate resulting from economic events also affect future Pension ongoing (income) expense. The following table highlights the sensitivity of our U.S. pension obligations and ongoing (income) expense to changes in these assumptions, with all other assumptions remaining constant: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Change in Assumption</w:t>
            </w:r>
          </w:p>
        </w:tc>
        <w:tc>
          <w:tcPr>
            <w:tcW w:w="2580" w:type="dxa"/>
            <w:vAlign w:val="bottom"/>
          </w:tcPr>
          <w:p>
            <w:pPr>
              <w:jc w:val="center"/>
              <w:ind w:left="96"/>
              <w:spacing w:after="0"/>
              <w:rPr>
                <w:sz w:val="20"/>
                <w:szCs w:val="20"/>
                <w:color w:val="auto"/>
              </w:rPr>
            </w:pPr>
            <w:r>
              <w:rPr>
                <w:rFonts w:ascii="Arial" w:cs="Arial" w:eastAsia="Arial" w:hAnsi="Arial"/>
                <w:sz w:val="14"/>
                <w:szCs w:val="14"/>
                <w:b w:val="1"/>
                <w:bCs w:val="1"/>
                <w:color w:val="auto"/>
              </w:rPr>
              <w:t>Impact on Pension</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rPr>
              <w:t>Impact on Projected Benefit</w:t>
            </w:r>
          </w:p>
        </w:tc>
        <w:tc>
          <w:tcPr>
            <w:tcW w:w="0" w:type="dxa"/>
            <w:vAlign w:val="bottom"/>
          </w:tcPr>
          <w:p>
            <w:pPr>
              <w:spacing w:after="0"/>
              <w:rPr>
                <w:sz w:val="1"/>
                <w:szCs w:val="1"/>
                <w:color w:val="auto"/>
              </w:rPr>
            </w:pPr>
          </w:p>
        </w:tc>
      </w:tr>
      <w:tr>
        <w:trPr>
          <w:trHeight w:val="189"/>
        </w:trPr>
        <w:tc>
          <w:tcPr>
            <w:tcW w:w="6020" w:type="dxa"/>
            <w:vAlign w:val="bottom"/>
            <w:tcBorders>
              <w:bottom w:val="single" w:sz="8" w:color="FF4400"/>
            </w:tcBorders>
            <w:vMerge w:val="continue"/>
          </w:tcPr>
          <w:p>
            <w:pPr>
              <w:spacing w:after="0"/>
              <w:rPr>
                <w:sz w:val="16"/>
                <w:szCs w:val="16"/>
                <w:color w:val="auto"/>
              </w:rPr>
            </w:pPr>
          </w:p>
        </w:tc>
        <w:tc>
          <w:tcPr>
            <w:tcW w:w="2580" w:type="dxa"/>
            <w:vAlign w:val="bottom"/>
            <w:tcBorders>
              <w:bottom w:val="single" w:sz="8" w:color="FF4400"/>
            </w:tcBorders>
          </w:tcPr>
          <w:p>
            <w:pPr>
              <w:jc w:val="center"/>
              <w:ind w:left="96"/>
              <w:spacing w:after="0"/>
              <w:rPr>
                <w:sz w:val="20"/>
                <w:szCs w:val="20"/>
                <w:color w:val="auto"/>
              </w:rPr>
            </w:pPr>
            <w:r>
              <w:rPr>
                <w:rFonts w:ascii="Arial" w:cs="Arial" w:eastAsia="Arial" w:hAnsi="Arial"/>
                <w:sz w:val="14"/>
                <w:szCs w:val="14"/>
                <w:b w:val="1"/>
                <w:bCs w:val="1"/>
                <w:color w:val="auto"/>
              </w:rPr>
              <w:t>Ongoing Expense</w:t>
            </w:r>
          </w:p>
        </w:tc>
        <w:tc>
          <w:tcPr>
            <w:tcW w:w="2640" w:type="dxa"/>
            <w:vAlign w:val="bottom"/>
            <w:tcBorders>
              <w:bottom w:val="single" w:sz="8" w:color="FF4400"/>
            </w:tcBorders>
          </w:tcPr>
          <w:p>
            <w:pPr>
              <w:jc w:val="center"/>
              <w:spacing w:after="0"/>
              <w:rPr>
                <w:sz w:val="20"/>
                <w:szCs w:val="20"/>
                <w:color w:val="auto"/>
              </w:rPr>
            </w:pPr>
            <w:r>
              <w:rPr>
                <w:rFonts w:ascii="Arial" w:cs="Arial" w:eastAsia="Arial" w:hAnsi="Arial"/>
                <w:sz w:val="14"/>
                <w:szCs w:val="14"/>
                <w:b w:val="1"/>
                <w:bCs w:val="1"/>
                <w:color w:val="auto"/>
              </w:rPr>
              <w:t>Obligation</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0.25 percentage point decrease in discount rate</w:t>
            </w:r>
          </w:p>
        </w:tc>
        <w:tc>
          <w:tcPr>
            <w:tcW w:w="2580" w:type="dxa"/>
            <w:vAlign w:val="bottom"/>
            <w:tcBorders>
              <w:bottom w:val="single" w:sz="8" w:color="BFBFBF"/>
            </w:tcBorders>
          </w:tcPr>
          <w:p>
            <w:pPr>
              <w:jc w:val="center"/>
              <w:ind w:left="76"/>
              <w:spacing w:after="0"/>
              <w:rPr>
                <w:sz w:val="20"/>
                <w:szCs w:val="20"/>
                <w:color w:val="auto"/>
              </w:rPr>
            </w:pPr>
            <w:r>
              <w:rPr>
                <w:rFonts w:ascii="Arial" w:cs="Arial" w:eastAsia="Arial" w:hAnsi="Arial"/>
                <w:sz w:val="18"/>
                <w:szCs w:val="18"/>
                <w:color w:val="auto"/>
                <w:w w:val="99"/>
              </w:rPr>
              <w:t>Decrease $9 million</w:t>
            </w:r>
          </w:p>
        </w:tc>
        <w:tc>
          <w:tcPr>
            <w:tcW w:w="2640" w:type="dxa"/>
            <w:vAlign w:val="bottom"/>
            <w:tcBorders>
              <w:bottom w:val="single" w:sz="8" w:color="BFBFBF"/>
            </w:tcBorders>
          </w:tcPr>
          <w:p>
            <w:pPr>
              <w:jc w:val="center"/>
              <w:spacing w:after="0"/>
              <w:rPr>
                <w:sz w:val="20"/>
                <w:szCs w:val="20"/>
                <w:color w:val="auto"/>
              </w:rPr>
            </w:pPr>
            <w:r>
              <w:rPr>
                <w:rFonts w:ascii="Arial" w:cs="Arial" w:eastAsia="Arial" w:hAnsi="Arial"/>
                <w:sz w:val="18"/>
                <w:szCs w:val="18"/>
                <w:color w:val="auto"/>
                <w:w w:val="98"/>
              </w:rPr>
              <w:t>Increase $112 million</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0.25 percentage point increase in discount rate</w:t>
            </w:r>
          </w:p>
        </w:tc>
        <w:tc>
          <w:tcPr>
            <w:tcW w:w="2580" w:type="dxa"/>
            <w:vAlign w:val="bottom"/>
            <w:tcBorders>
              <w:bottom w:val="single" w:sz="8" w:color="BFBFBF"/>
            </w:tcBorders>
          </w:tcPr>
          <w:p>
            <w:pPr>
              <w:jc w:val="center"/>
              <w:ind w:left="76"/>
              <w:spacing w:after="0"/>
              <w:rPr>
                <w:sz w:val="20"/>
                <w:szCs w:val="20"/>
                <w:color w:val="auto"/>
              </w:rPr>
            </w:pPr>
            <w:r>
              <w:rPr>
                <w:rFonts w:ascii="Arial" w:cs="Arial" w:eastAsia="Arial" w:hAnsi="Arial"/>
                <w:sz w:val="18"/>
                <w:szCs w:val="18"/>
                <w:color w:val="auto"/>
                <w:w w:val="99"/>
              </w:rPr>
              <w:t>Increase $9 million</w:t>
            </w:r>
          </w:p>
        </w:tc>
        <w:tc>
          <w:tcPr>
            <w:tcW w:w="2640" w:type="dxa"/>
            <w:vAlign w:val="bottom"/>
            <w:tcBorders>
              <w:bottom w:val="single" w:sz="8" w:color="BFBFBF"/>
            </w:tcBorders>
          </w:tcPr>
          <w:p>
            <w:pPr>
              <w:jc w:val="center"/>
              <w:spacing w:after="0"/>
              <w:rPr>
                <w:sz w:val="20"/>
                <w:szCs w:val="20"/>
                <w:color w:val="auto"/>
              </w:rPr>
            </w:pPr>
            <w:r>
              <w:rPr>
                <w:rFonts w:ascii="Arial" w:cs="Arial" w:eastAsia="Arial" w:hAnsi="Arial"/>
                <w:sz w:val="18"/>
                <w:szCs w:val="18"/>
                <w:color w:val="auto"/>
                <w:w w:val="99"/>
              </w:rPr>
              <w:t>Decrease $108 million</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0.25 percentage point decrease in expected rate of return on assets</w:t>
            </w:r>
          </w:p>
        </w:tc>
        <w:tc>
          <w:tcPr>
            <w:tcW w:w="2580" w:type="dxa"/>
            <w:vAlign w:val="bottom"/>
            <w:tcBorders>
              <w:bottom w:val="single" w:sz="8" w:color="BFBFBF"/>
            </w:tcBorders>
          </w:tcPr>
          <w:p>
            <w:pPr>
              <w:jc w:val="center"/>
              <w:ind w:left="76"/>
              <w:spacing w:after="0"/>
              <w:rPr>
                <w:sz w:val="20"/>
                <w:szCs w:val="20"/>
                <w:color w:val="auto"/>
              </w:rPr>
            </w:pPr>
            <w:r>
              <w:rPr>
                <w:rFonts w:ascii="Arial" w:cs="Arial" w:eastAsia="Arial" w:hAnsi="Arial"/>
                <w:sz w:val="18"/>
                <w:szCs w:val="18"/>
                <w:color w:val="auto"/>
                <w:w w:val="99"/>
              </w:rPr>
              <w:t>Increase $5 million</w:t>
            </w:r>
          </w:p>
        </w:tc>
        <w:tc>
          <w:tcPr>
            <w:tcW w:w="2640" w:type="dxa"/>
            <w:vAlign w:val="bottom"/>
            <w:tcBorders>
              <w:bottom w:val="single" w:sz="8" w:color="BFBFBF"/>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0.25 percentage point increase in expected rate of return on assets</w:t>
            </w:r>
          </w:p>
        </w:tc>
        <w:tc>
          <w:tcPr>
            <w:tcW w:w="2580" w:type="dxa"/>
            <w:vAlign w:val="bottom"/>
            <w:tcBorders>
              <w:bottom w:val="single" w:sz="8" w:color="BFBFBF"/>
            </w:tcBorders>
          </w:tcPr>
          <w:p>
            <w:pPr>
              <w:jc w:val="center"/>
              <w:ind w:left="76"/>
              <w:spacing w:after="0"/>
              <w:rPr>
                <w:sz w:val="20"/>
                <w:szCs w:val="20"/>
                <w:color w:val="auto"/>
              </w:rPr>
            </w:pPr>
            <w:r>
              <w:rPr>
                <w:rFonts w:ascii="Arial" w:cs="Arial" w:eastAsia="Arial" w:hAnsi="Arial"/>
                <w:sz w:val="18"/>
                <w:szCs w:val="18"/>
                <w:color w:val="auto"/>
                <w:w w:val="99"/>
              </w:rPr>
              <w:t>Decrease $5 million</w:t>
            </w:r>
          </w:p>
        </w:tc>
        <w:tc>
          <w:tcPr>
            <w:tcW w:w="2640" w:type="dxa"/>
            <w:vAlign w:val="bottom"/>
            <w:tcBorders>
              <w:bottom w:val="single" w:sz="8" w:color="BFBFBF"/>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Pension ongoing income for our world-wide pension plans is expected to be approximately $150 million in 2026. Also, if required, a MTM Adjustment will be recorded in the fourth quarter of 2026 in accordance with our pension accounting method. It is difficult to reliably forecast or predict whether there will be a MTM Adjustment in 2026, and if one is required, what the magnitude of such adjustment will be. MTM Adjustments are primarily driven by events and circumstances beyond our control such as changes in interest rates and the performance of the financial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5" w:name="page56"/>
    <w:bookmarkEnd w:id="55"/>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2. Summary of Significant Accounting Policies</w:t>
      </w:r>
      <w:r>
        <w:rPr>
          <w:rFonts w:ascii="Arial" w:cs="Arial" w:eastAsia="Arial" w:hAnsi="Arial"/>
          <w:sz w:val="18"/>
          <w:szCs w:val="18"/>
          <w:color w:val="auto"/>
        </w:rPr>
        <w:t xml:space="preserve"> of the Notes to the Condensed Consolidated Financial Statements for a discussion of recent accounting pronouncements.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Information relating to market risks is included within the section titled “Quantitative and Qualitative Disclosures About Market Risk” of the Information Statement.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including the Chief Executive Officer (“CEO”) and Chief Financial Officer (“CFO”), conducted an evaluation of the effectiveness of our disclosure controls and procedures (as defined in Rules 13a-15(e) or 15d-15(e) promulgated under the Securities Exchange Act of 1934, as amended (the “Exchange Act”)) as of the end of the period covered by this Quarterly Report on Form 10-Q. Based upon that evaluation, our CEO and CFO concluded that, as of the end of the period covered by this Quarterly Report on Form 10-Q, such disclosure controls and procedures were effective to ensure information required to be disclosed in the reports that we file or submit under the Exchange Act is recorded, processed, summarized, and reported within the time periods specified in the SEC's rules and forms, and that it is accumulated and communicated to our management, including our CEO, our CFO, and our Controller and Chief Accounting Officer, as appropriate, to allow timely decisions regarding required disclosure. There were no changes that materially affected, or are reasonably likely to materially affect, our internal control over financial reporting that occurred during the period covered by this Quarterly Report on Form 10-Q.</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Since our Spin-off from Honeywell on June 29, 2026, we have substantially completed the design and implementation of our internal controls over financial reporting. We will continue to test our internal controls over financial reporting and may from time to time make changes aimed at enhancing their effectiveness and to ensure that our controls and systems meet our needs as an independent, publicly traded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6" w:name="page57"/>
    <w:bookmarkEnd w:id="56"/>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are subject to a number of lawsuits, investigations, and disputes (some of which involve substantial amounts claimed) arising from the conduct of our business. We recognize a liability for any contingency that is probable of occurrence and reasonably estimable. We continually assess the likelihood of adverse judgments or outcomes in these matters, as well as potential ranges of possible losses (taking into consideration any insurance recoveries), based on careful analysis of each matter, and if appropriate, with the assistance of outside legal counsel and other experts. Refer to </w:t>
      </w:r>
      <w:r>
        <w:rPr>
          <w:rFonts w:ascii="Arial" w:cs="Arial" w:eastAsia="Arial" w:hAnsi="Arial"/>
          <w:sz w:val="18"/>
          <w:szCs w:val="18"/>
          <w:u w:val="single" w:color="auto"/>
          <w:color w:val="0000FF"/>
        </w:rPr>
        <w:t>Note 16. Commitments and Contingencies</w:t>
      </w:r>
      <w:r>
        <w:rPr>
          <w:rFonts w:ascii="Arial" w:cs="Arial" w:eastAsia="Arial" w:hAnsi="Arial"/>
          <w:sz w:val="18"/>
          <w:szCs w:val="18"/>
          <w:color w:val="auto"/>
        </w:rPr>
        <w:t xml:space="preserve"> of the Notes to the Condensed Consolidated Financial Statements for additional information on our commitments and contingencies.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the date of this Quarterly Report on Form 10-Q, there have been no material changes to our Risk Factors presented in the Information Statement included in our Registration Statement on Form 10, as filed with the SEC. For further discussion of our Risk Factors, refer to the section titled “Risk Factors” in the Information Statement.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23, 2026, our Board of Directors authorized a share repurchase program under which we may repurchase up to $3.5 billion of our outstanding common stock. The share repurchase authorization does not have an expiration date and may be modified, suspended, or discontinued by our Board of Directors at any time without prior notice.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We presently expect to repurchase outstanding shares from time to time (i) to offset the dilutive impact of employee stock-based compensation plans, including option exercises, restricted stock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 No shares were repurchased pursuant to the share repurchase authorization during the three months ended September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7" w:name="page58"/>
    <w:bookmarkEnd w:id="57"/>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purchases of Honeywell Aerospace’s common stock for the three months ended September 26, 2026:</w:t>
      </w: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560" w:type="dxa"/>
            <w:vAlign w:val="bottom"/>
            <w:tcBorders>
              <w:top w:val="single" w:sz="8" w:color="FF4400"/>
            </w:tcBorders>
          </w:tcPr>
          <w:p>
            <w:pPr>
              <w:spacing w:after="0"/>
              <w:rPr>
                <w:sz w:val="12"/>
                <w:szCs w:val="12"/>
                <w:color w:val="auto"/>
              </w:rPr>
            </w:pPr>
          </w:p>
        </w:tc>
        <w:tc>
          <w:tcPr>
            <w:tcW w:w="2060" w:type="dxa"/>
            <w:vAlign w:val="bottom"/>
            <w:tcBorders>
              <w:top w:val="single" w:sz="8" w:color="FF4400"/>
            </w:tcBorders>
          </w:tcPr>
          <w:p>
            <w:pPr>
              <w:spacing w:after="0"/>
              <w:rPr>
                <w:sz w:val="12"/>
                <w:szCs w:val="12"/>
                <w:color w:val="auto"/>
              </w:rPr>
            </w:pPr>
          </w:p>
        </w:tc>
        <w:tc>
          <w:tcPr>
            <w:tcW w:w="460" w:type="dxa"/>
            <w:vAlign w:val="bottom"/>
            <w:tcBorders>
              <w:top w:val="single" w:sz="8" w:color="FF4400"/>
            </w:tcBorders>
          </w:tcPr>
          <w:p>
            <w:pPr>
              <w:spacing w:after="0"/>
              <w:rPr>
                <w:sz w:val="12"/>
                <w:szCs w:val="12"/>
                <w:color w:val="auto"/>
              </w:rPr>
            </w:pPr>
          </w:p>
        </w:tc>
        <w:tc>
          <w:tcPr>
            <w:tcW w:w="1380" w:type="dxa"/>
            <w:vAlign w:val="bottom"/>
            <w:tcBorders>
              <w:top w:val="single" w:sz="8" w:color="FF4400"/>
            </w:tcBorders>
          </w:tcPr>
          <w:p>
            <w:pPr>
              <w:spacing w:after="0"/>
              <w:rPr>
                <w:sz w:val="12"/>
                <w:szCs w:val="12"/>
                <w:color w:val="auto"/>
              </w:rPr>
            </w:pPr>
          </w:p>
        </w:tc>
        <w:tc>
          <w:tcPr>
            <w:tcW w:w="1840" w:type="dxa"/>
            <w:vAlign w:val="bottom"/>
            <w:tcBorders>
              <w:top w:val="single" w:sz="8" w:color="FF4400"/>
            </w:tcBorders>
          </w:tcPr>
          <w:p>
            <w:pPr>
              <w:spacing w:after="0"/>
              <w:rPr>
                <w:sz w:val="12"/>
                <w:szCs w:val="12"/>
                <w:color w:val="auto"/>
              </w:rPr>
            </w:pPr>
          </w:p>
        </w:tc>
        <w:tc>
          <w:tcPr>
            <w:tcW w:w="1880" w:type="dxa"/>
            <w:vAlign w:val="bottom"/>
            <w:tcBorders>
              <w:top w:val="single" w:sz="8" w:color="FF4400"/>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Total Number of Shares</w:t>
            </w:r>
          </w:p>
        </w:tc>
        <w:tc>
          <w:tcPr>
            <w:tcW w:w="18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9"/>
        </w:trPr>
        <w:tc>
          <w:tcPr>
            <w:tcW w:w="35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center"/>
              <w:ind w:right="58"/>
              <w:spacing w:after="0" w:line="139" w:lineRule="exact"/>
              <w:rPr>
                <w:sz w:val="20"/>
                <w:szCs w:val="20"/>
                <w:color w:val="auto"/>
              </w:rPr>
            </w:pPr>
            <w:r>
              <w:rPr>
                <w:rFonts w:ascii="Arial" w:cs="Arial" w:eastAsia="Arial" w:hAnsi="Arial"/>
                <w:sz w:val="14"/>
                <w:szCs w:val="14"/>
                <w:b w:val="1"/>
                <w:bCs w:val="1"/>
                <w:color w:val="auto"/>
              </w:rPr>
              <w:t>Purchased Under Our</w:t>
            </w: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20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 Number of Shares</w:t>
            </w:r>
          </w:p>
        </w:tc>
        <w:tc>
          <w:tcPr>
            <w:tcW w:w="184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Average Price Paid per</w:t>
            </w:r>
          </w:p>
        </w:tc>
        <w:tc>
          <w:tcPr>
            <w:tcW w:w="1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Purchased as Part of</w:t>
            </w:r>
          </w:p>
        </w:tc>
        <w:tc>
          <w:tcPr>
            <w:tcW w:w="220" w:type="dxa"/>
            <w:vAlign w:val="bottom"/>
          </w:tcPr>
          <w:p>
            <w:pPr>
              <w:spacing w:after="0"/>
              <w:rPr>
                <w:sz w:val="12"/>
                <w:szCs w:val="12"/>
                <w:color w:val="auto"/>
              </w:rPr>
            </w:pPr>
          </w:p>
        </w:tc>
        <w:tc>
          <w:tcPr>
            <w:tcW w:w="1660" w:type="dxa"/>
            <w:vAlign w:val="bottom"/>
          </w:tcPr>
          <w:p>
            <w:pPr>
              <w:jc w:val="center"/>
              <w:ind w:right="78"/>
              <w:spacing w:after="0" w:line="145" w:lineRule="exact"/>
              <w:rPr>
                <w:sz w:val="20"/>
                <w:szCs w:val="20"/>
                <w:color w:val="auto"/>
              </w:rPr>
            </w:pPr>
            <w:r>
              <w:rPr>
                <w:rFonts w:ascii="Arial" w:cs="Arial" w:eastAsia="Arial" w:hAnsi="Arial"/>
                <w:sz w:val="14"/>
                <w:szCs w:val="14"/>
                <w:b w:val="1"/>
                <w:bCs w:val="1"/>
                <w:color w:val="auto"/>
              </w:rPr>
              <w:t>Share Repurchase</w:t>
            </w:r>
          </w:p>
        </w:tc>
        <w:tc>
          <w:tcPr>
            <w:tcW w:w="0" w:type="dxa"/>
            <w:vAlign w:val="bottom"/>
          </w:tcPr>
          <w:p>
            <w:pPr>
              <w:spacing w:after="0"/>
              <w:rPr>
                <w:sz w:val="1"/>
                <w:szCs w:val="1"/>
                <w:color w:val="auto"/>
              </w:rPr>
            </w:pPr>
          </w:p>
        </w:tc>
      </w:tr>
      <w:tr>
        <w:trPr>
          <w:trHeight w:val="148"/>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060" w:type="dxa"/>
            <w:vAlign w:val="bottom"/>
            <w:vMerge w:val="continue"/>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Publicly Announced</w:t>
            </w:r>
          </w:p>
        </w:tc>
        <w:tc>
          <w:tcPr>
            <w:tcW w:w="1880" w:type="dxa"/>
            <w:vAlign w:val="bottom"/>
            <w:gridSpan w:val="2"/>
          </w:tcPr>
          <w:p>
            <w:pPr>
              <w:jc w:val="center"/>
              <w:ind w:left="1"/>
              <w:spacing w:after="0" w:line="149" w:lineRule="exact"/>
              <w:rPr>
                <w:sz w:val="20"/>
                <w:szCs w:val="20"/>
                <w:color w:val="auto"/>
              </w:rPr>
            </w:pPr>
            <w:r>
              <w:rPr>
                <w:rFonts w:ascii="Arial" w:cs="Arial" w:eastAsia="Arial" w:hAnsi="Arial"/>
                <w:sz w:val="14"/>
                <w:szCs w:val="14"/>
                <w:b w:val="1"/>
                <w:bCs w:val="1"/>
                <w:color w:val="auto"/>
              </w:rPr>
              <w:t>Authorization (Dollars in</w:t>
            </w:r>
          </w:p>
        </w:tc>
        <w:tc>
          <w:tcPr>
            <w:tcW w:w="0" w:type="dxa"/>
            <w:vAlign w:val="bottom"/>
          </w:tcPr>
          <w:p>
            <w:pPr>
              <w:spacing w:after="0"/>
              <w:rPr>
                <w:sz w:val="1"/>
                <w:szCs w:val="1"/>
                <w:color w:val="auto"/>
              </w:rPr>
            </w:pPr>
          </w:p>
        </w:tc>
      </w:tr>
      <w:tr>
        <w:trPr>
          <w:trHeight w:val="189"/>
        </w:trPr>
        <w:tc>
          <w:tcPr>
            <w:tcW w:w="3560" w:type="dxa"/>
            <w:vAlign w:val="bottom"/>
            <w:tcBorders>
              <w:bottom w:val="single" w:sz="8" w:color="FF4400"/>
            </w:tcBorders>
            <w:vMerge w:val="continue"/>
          </w:tcPr>
          <w:p>
            <w:pPr>
              <w:spacing w:after="0"/>
              <w:rPr>
                <w:sz w:val="16"/>
                <w:szCs w:val="16"/>
                <w:color w:val="auto"/>
              </w:rPr>
            </w:pPr>
          </w:p>
        </w:tc>
        <w:tc>
          <w:tcPr>
            <w:tcW w:w="2060" w:type="dxa"/>
            <w:vAlign w:val="bottom"/>
            <w:tcBorders>
              <w:bottom w:val="single" w:sz="8" w:color="FF4400"/>
            </w:tcBorders>
          </w:tcPr>
          <w:p>
            <w:pPr>
              <w:jc w:val="right"/>
              <w:ind w:right="436"/>
              <w:spacing w:after="0" w:line="189" w:lineRule="exact"/>
              <w:rPr>
                <w:sz w:val="20"/>
                <w:szCs w:val="20"/>
                <w:color w:val="auto"/>
              </w:rPr>
            </w:pPr>
            <w:r>
              <w:rPr>
                <w:rFonts w:ascii="Arial" w:cs="Arial" w:eastAsia="Arial" w:hAnsi="Arial"/>
                <w:sz w:val="14"/>
                <w:szCs w:val="14"/>
                <w:b w:val="1"/>
                <w:bCs w:val="1"/>
                <w:color w:val="auto"/>
              </w:rPr>
              <w:t>Purchased</w:t>
            </w:r>
            <w:r>
              <w:rPr>
                <w:rFonts w:ascii="Arial" w:cs="Arial" w:eastAsia="Arial" w:hAnsi="Arial"/>
                <w:sz w:val="18"/>
                <w:szCs w:val="18"/>
                <w:b w:val="1"/>
                <w:bCs w:val="1"/>
                <w:color w:val="auto"/>
                <w:vertAlign w:val="superscript"/>
              </w:rPr>
              <w:t>1</w:t>
            </w:r>
          </w:p>
        </w:tc>
        <w:tc>
          <w:tcPr>
            <w:tcW w:w="460" w:type="dxa"/>
            <w:vAlign w:val="bottom"/>
            <w:tcBorders>
              <w:bottom w:val="single" w:sz="8" w:color="FF4400"/>
            </w:tcBorders>
          </w:tcPr>
          <w:p>
            <w:pPr>
              <w:spacing w:after="0"/>
              <w:rPr>
                <w:sz w:val="16"/>
                <w:szCs w:val="16"/>
                <w:color w:val="auto"/>
              </w:rPr>
            </w:pPr>
          </w:p>
        </w:tc>
        <w:tc>
          <w:tcPr>
            <w:tcW w:w="1380" w:type="dxa"/>
            <w:vAlign w:val="bottom"/>
            <w:tcBorders>
              <w:bottom w:val="single" w:sz="8" w:color="FF4400"/>
            </w:tcBorders>
          </w:tcPr>
          <w:p>
            <w:pPr>
              <w:jc w:val="right"/>
              <w:ind w:right="614"/>
              <w:spacing w:after="0"/>
              <w:rPr>
                <w:sz w:val="20"/>
                <w:szCs w:val="20"/>
                <w:color w:val="auto"/>
              </w:rPr>
            </w:pPr>
            <w:r>
              <w:rPr>
                <w:rFonts w:ascii="Arial" w:cs="Arial" w:eastAsia="Arial" w:hAnsi="Arial"/>
                <w:sz w:val="14"/>
                <w:szCs w:val="14"/>
                <w:b w:val="1"/>
                <w:bCs w:val="1"/>
                <w:color w:val="auto"/>
              </w:rPr>
              <w:t>Share</w:t>
            </w:r>
          </w:p>
        </w:tc>
        <w:tc>
          <w:tcPr>
            <w:tcW w:w="1840" w:type="dxa"/>
            <w:vAlign w:val="bottom"/>
            <w:tcBorders>
              <w:bottom w:val="single" w:sz="8" w:color="FF4400"/>
            </w:tcBorders>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20" w:type="dxa"/>
            <w:vAlign w:val="bottom"/>
            <w:tcBorders>
              <w:bottom w:val="single" w:sz="8" w:color="FF4400"/>
            </w:tcBorders>
          </w:tcPr>
          <w:p>
            <w:pPr>
              <w:spacing w:after="0"/>
              <w:rPr>
                <w:sz w:val="16"/>
                <w:szCs w:val="16"/>
                <w:color w:val="auto"/>
              </w:rPr>
            </w:pPr>
          </w:p>
        </w:tc>
        <w:tc>
          <w:tcPr>
            <w:tcW w:w="1660" w:type="dxa"/>
            <w:vAlign w:val="bottom"/>
            <w:tcBorders>
              <w:bottom w:val="single" w:sz="8" w:color="FF4400"/>
            </w:tcBorders>
          </w:tcPr>
          <w:p>
            <w:pPr>
              <w:jc w:val="center"/>
              <w:ind w:right="7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June 28, 2026 - July 25, 2026</w:t>
            </w:r>
          </w:p>
        </w:tc>
        <w:tc>
          <w:tcPr>
            <w:tcW w:w="2060" w:type="dxa"/>
            <w:vAlign w:val="bottom"/>
            <w:tcBorders>
              <w:bottom w:val="single" w:sz="8" w:color="BFBFBF"/>
            </w:tcBorders>
          </w:tcPr>
          <w:p>
            <w:pPr>
              <w:jc w:val="right"/>
              <w:ind w:right="16"/>
              <w:spacing w:after="0"/>
              <w:rPr>
                <w:sz w:val="20"/>
                <w:szCs w:val="20"/>
                <w:color w:val="auto"/>
              </w:rPr>
            </w:pPr>
            <w:r>
              <w:rPr>
                <w:rFonts w:ascii="Arial" w:cs="Arial" w:eastAsia="Arial" w:hAnsi="Arial"/>
                <w:sz w:val="18"/>
                <w:szCs w:val="18"/>
                <w:color w:val="auto"/>
              </w:rPr>
              <w:t>4,671</w:t>
            </w:r>
          </w:p>
        </w:tc>
        <w:tc>
          <w:tcPr>
            <w:tcW w:w="460" w:type="dxa"/>
            <w:vAlign w:val="bottom"/>
            <w:tcBorders>
              <w:bottom w:val="single" w:sz="8" w:color="BFBFBF"/>
            </w:tcBorders>
          </w:tcPr>
          <w:p>
            <w:pPr>
              <w:jc w:val="right"/>
              <w:ind w:right="196"/>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BFBFBF"/>
            </w:tcBorders>
          </w:tcPr>
          <w:p>
            <w:pPr>
              <w:jc w:val="right"/>
              <w:ind w:right="34"/>
              <w:spacing w:after="0"/>
              <w:rPr>
                <w:sz w:val="20"/>
                <w:szCs w:val="20"/>
                <w:color w:val="auto"/>
              </w:rPr>
            </w:pPr>
            <w:r>
              <w:rPr>
                <w:rFonts w:ascii="Arial" w:cs="Arial" w:eastAsia="Arial" w:hAnsi="Arial"/>
                <w:sz w:val="18"/>
                <w:szCs w:val="18"/>
                <w:color w:val="auto"/>
              </w:rPr>
              <w:t>234.20</w:t>
            </w:r>
          </w:p>
        </w:tc>
        <w:tc>
          <w:tcPr>
            <w:tcW w:w="1840" w:type="dxa"/>
            <w:vAlign w:val="bottom"/>
            <w:tcBorders>
              <w:bottom w:val="single" w:sz="8" w:color="BFBFBF"/>
            </w:tcBorders>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July 26, 2026 - August 22, 2026</w:t>
            </w:r>
          </w:p>
        </w:tc>
        <w:tc>
          <w:tcPr>
            <w:tcW w:w="2060" w:type="dxa"/>
            <w:vAlign w:val="bottom"/>
            <w:tcBorders>
              <w:bottom w:val="single" w:sz="8" w:color="BFBFBF"/>
            </w:tcBorders>
          </w:tcPr>
          <w:p>
            <w:pPr>
              <w:jc w:val="right"/>
              <w:ind w:right="16"/>
              <w:spacing w:after="0"/>
              <w:rPr>
                <w:sz w:val="20"/>
                <w:szCs w:val="20"/>
                <w:color w:val="auto"/>
              </w:rPr>
            </w:pPr>
            <w:r>
              <w:rPr>
                <w:rFonts w:ascii="Arial" w:cs="Arial" w:eastAsia="Arial" w:hAnsi="Arial"/>
                <w:sz w:val="18"/>
                <w:szCs w:val="18"/>
                <w:color w:val="auto"/>
              </w:rPr>
              <w:t>35,301</w:t>
            </w:r>
          </w:p>
        </w:tc>
        <w:tc>
          <w:tcPr>
            <w:tcW w:w="460" w:type="dxa"/>
            <w:vAlign w:val="bottom"/>
            <w:tcBorders>
              <w:bottom w:val="single" w:sz="8" w:color="BFBFBF"/>
            </w:tcBorders>
          </w:tcPr>
          <w:p>
            <w:pPr>
              <w:spacing w:after="0"/>
              <w:rPr>
                <w:sz w:val="19"/>
                <w:szCs w:val="19"/>
                <w:color w:val="auto"/>
              </w:rPr>
            </w:pPr>
          </w:p>
        </w:tc>
        <w:tc>
          <w:tcPr>
            <w:tcW w:w="1380" w:type="dxa"/>
            <w:vAlign w:val="bottom"/>
            <w:tcBorders>
              <w:bottom w:val="single" w:sz="8" w:color="BFBFBF"/>
            </w:tcBorders>
          </w:tcPr>
          <w:p>
            <w:pPr>
              <w:jc w:val="right"/>
              <w:ind w:right="34"/>
              <w:spacing w:after="0"/>
              <w:rPr>
                <w:sz w:val="20"/>
                <w:szCs w:val="20"/>
                <w:color w:val="auto"/>
              </w:rPr>
            </w:pPr>
            <w:r>
              <w:rPr>
                <w:rFonts w:ascii="Arial" w:cs="Arial" w:eastAsia="Arial" w:hAnsi="Arial"/>
                <w:sz w:val="18"/>
                <w:szCs w:val="18"/>
                <w:color w:val="auto"/>
              </w:rPr>
              <w:t>206.87</w:t>
            </w:r>
          </w:p>
        </w:tc>
        <w:tc>
          <w:tcPr>
            <w:tcW w:w="1840" w:type="dxa"/>
            <w:vAlign w:val="bottom"/>
            <w:tcBorders>
              <w:bottom w:val="single" w:sz="8" w:color="BFBFBF"/>
            </w:tcBorders>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9"/>
                <w:szCs w:val="19"/>
                <w:color w:val="auto"/>
              </w:rPr>
            </w:pPr>
          </w:p>
        </w:tc>
        <w:tc>
          <w:tcPr>
            <w:tcW w:w="1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384348"/>
            </w:tcBorders>
          </w:tcPr>
          <w:p>
            <w:pPr>
              <w:ind w:left="100"/>
              <w:spacing w:after="0"/>
              <w:rPr>
                <w:sz w:val="20"/>
                <w:szCs w:val="20"/>
                <w:color w:val="auto"/>
              </w:rPr>
            </w:pPr>
            <w:r>
              <w:rPr>
                <w:rFonts w:ascii="Arial" w:cs="Arial" w:eastAsia="Arial" w:hAnsi="Arial"/>
                <w:sz w:val="18"/>
                <w:szCs w:val="18"/>
                <w:color w:val="auto"/>
              </w:rPr>
              <w:t>August 23, 2026 - September 26, 2026</w:t>
            </w:r>
          </w:p>
        </w:tc>
        <w:tc>
          <w:tcPr>
            <w:tcW w:w="2060" w:type="dxa"/>
            <w:vAlign w:val="bottom"/>
            <w:tcBorders>
              <w:bottom w:val="single" w:sz="8" w:color="384348"/>
            </w:tcBorders>
          </w:tcPr>
          <w:p>
            <w:pPr>
              <w:jc w:val="right"/>
              <w:ind w:right="16"/>
              <w:spacing w:after="0"/>
              <w:rPr>
                <w:sz w:val="20"/>
                <w:szCs w:val="20"/>
                <w:color w:val="auto"/>
              </w:rPr>
            </w:pPr>
            <w:r>
              <w:rPr>
                <w:rFonts w:ascii="Arial" w:cs="Arial" w:eastAsia="Arial" w:hAnsi="Arial"/>
                <w:sz w:val="18"/>
                <w:szCs w:val="18"/>
                <w:color w:val="auto"/>
              </w:rPr>
              <w:t>356</w:t>
            </w:r>
          </w:p>
        </w:tc>
        <w:tc>
          <w:tcPr>
            <w:tcW w:w="460" w:type="dxa"/>
            <w:vAlign w:val="bottom"/>
            <w:tcBorders>
              <w:bottom w:val="single" w:sz="8" w:color="384348"/>
            </w:tcBorders>
          </w:tcPr>
          <w:p>
            <w:pPr>
              <w:spacing w:after="0"/>
              <w:rPr>
                <w:sz w:val="19"/>
                <w:szCs w:val="19"/>
                <w:color w:val="auto"/>
              </w:rPr>
            </w:pPr>
          </w:p>
        </w:tc>
        <w:tc>
          <w:tcPr>
            <w:tcW w:w="1380" w:type="dxa"/>
            <w:vAlign w:val="bottom"/>
            <w:tcBorders>
              <w:bottom w:val="single" w:sz="8" w:color="384348"/>
            </w:tcBorders>
          </w:tcPr>
          <w:p>
            <w:pPr>
              <w:jc w:val="right"/>
              <w:ind w:right="34"/>
              <w:spacing w:after="0"/>
              <w:rPr>
                <w:sz w:val="20"/>
                <w:szCs w:val="20"/>
                <w:color w:val="auto"/>
              </w:rPr>
            </w:pPr>
            <w:r>
              <w:rPr>
                <w:rFonts w:ascii="Arial" w:cs="Arial" w:eastAsia="Arial" w:hAnsi="Arial"/>
                <w:sz w:val="18"/>
                <w:szCs w:val="18"/>
                <w:color w:val="auto"/>
              </w:rPr>
              <w:t>157.91</w:t>
            </w:r>
          </w:p>
        </w:tc>
        <w:tc>
          <w:tcPr>
            <w:tcW w:w="1840" w:type="dxa"/>
            <w:vAlign w:val="bottom"/>
            <w:tcBorders>
              <w:bottom w:val="single" w:sz="8" w:color="384348"/>
            </w:tcBorders>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384348"/>
            </w:tcBorders>
          </w:tcPr>
          <w:p>
            <w:pPr>
              <w:spacing w:after="0"/>
              <w:rPr>
                <w:sz w:val="19"/>
                <w:szCs w:val="19"/>
                <w:color w:val="auto"/>
              </w:rPr>
            </w:pPr>
          </w:p>
        </w:tc>
        <w:tc>
          <w:tcPr>
            <w:tcW w:w="1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384348"/>
            </w:tcBorders>
          </w:tcPr>
          <w:p>
            <w:pPr>
              <w:ind w:left="140"/>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bottom w:val="single" w:sz="8" w:color="384348"/>
            </w:tcBorders>
          </w:tcPr>
          <w:p>
            <w:pPr>
              <w:jc w:val="right"/>
              <w:ind w:right="16"/>
              <w:spacing w:after="0"/>
              <w:rPr>
                <w:sz w:val="20"/>
                <w:szCs w:val="20"/>
                <w:color w:val="auto"/>
              </w:rPr>
            </w:pPr>
            <w:r>
              <w:rPr>
                <w:rFonts w:ascii="Arial" w:cs="Arial" w:eastAsia="Arial" w:hAnsi="Arial"/>
                <w:sz w:val="18"/>
                <w:szCs w:val="18"/>
                <w:b w:val="1"/>
                <w:bCs w:val="1"/>
                <w:color w:val="auto"/>
              </w:rPr>
              <w:t>40,328</w:t>
            </w:r>
          </w:p>
        </w:tc>
        <w:tc>
          <w:tcPr>
            <w:tcW w:w="460" w:type="dxa"/>
            <w:vAlign w:val="bottom"/>
            <w:tcBorders>
              <w:bottom w:val="single" w:sz="8" w:color="384348"/>
            </w:tcBorders>
          </w:tcPr>
          <w:p>
            <w:pPr>
              <w:jc w:val="right"/>
              <w:ind w:right="196"/>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384348"/>
            </w:tcBorders>
          </w:tcPr>
          <w:p>
            <w:pPr>
              <w:jc w:val="right"/>
              <w:ind w:right="34"/>
              <w:spacing w:after="0"/>
              <w:rPr>
                <w:sz w:val="20"/>
                <w:szCs w:val="20"/>
                <w:color w:val="auto"/>
              </w:rPr>
            </w:pPr>
            <w:r>
              <w:rPr>
                <w:rFonts w:ascii="Arial" w:cs="Arial" w:eastAsia="Arial" w:hAnsi="Arial"/>
                <w:sz w:val="18"/>
                <w:szCs w:val="18"/>
                <w:b w:val="1"/>
                <w:bCs w:val="1"/>
                <w:color w:val="auto"/>
              </w:rPr>
              <w:t>207.43</w:t>
            </w:r>
          </w:p>
        </w:tc>
        <w:tc>
          <w:tcPr>
            <w:tcW w:w="1840" w:type="dxa"/>
            <w:vAlign w:val="bottom"/>
            <w:tcBorders>
              <w:bottom w:val="single" w:sz="8" w:color="384348"/>
            </w:tcBorders>
          </w:tcPr>
          <w:p>
            <w:pPr>
              <w:jc w:val="right"/>
              <w:ind w:right="19"/>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3,500</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5" w:lineRule="exact"/>
        <w:rPr>
          <w:sz w:val="20"/>
          <w:szCs w:val="20"/>
          <w:color w:val="auto"/>
        </w:rPr>
      </w:pPr>
    </w:p>
    <w:p>
      <w:pPr>
        <w:ind w:left="340" w:right="20" w:hanging="332"/>
        <w:spacing w:after="0" w:line="284" w:lineRule="auto"/>
        <w:tabs>
          <w:tab w:leader="none" w:pos="338" w:val="left"/>
        </w:tabs>
        <w:numPr>
          <w:ilvl w:val="0"/>
          <w:numId w:val="30"/>
        </w:numPr>
        <w:rPr>
          <w:rFonts w:ascii="Arial" w:cs="Arial" w:eastAsia="Arial" w:hAnsi="Arial"/>
          <w:sz w:val="14"/>
          <w:szCs w:val="14"/>
          <w:color w:val="auto"/>
        </w:rPr>
      </w:pPr>
      <w:r>
        <w:rPr>
          <w:rFonts w:ascii="Arial" w:cs="Arial" w:eastAsia="Arial" w:hAnsi="Arial"/>
          <w:sz w:val="14"/>
          <w:szCs w:val="14"/>
          <w:color w:val="auto"/>
        </w:rPr>
        <w:t>All shares reported in the table above were acquired in connection with employee equity award transactions, including shares withheld to satisfy statutory withholding tax obligations upon vesting of share-based awards.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September 26, 2026, none of our officers or directors adopted, terminated, or modified a "Rule 10b5-1 trading arrangement," or adopted, terminated, or modified any "non-Rule 10b5-1 trading arrangement" (each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8" w:name="page59"/>
    <w:bookmarkEnd w:id="58"/>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580" w:type="dxa"/>
            <w:vAlign w:val="bottom"/>
            <w:gridSpan w:val="11"/>
          </w:tcPr>
          <w:p>
            <w:pPr>
              <w:ind w:left="200"/>
              <w:spacing w:after="0"/>
              <w:rPr>
                <w:sz w:val="20"/>
                <w:szCs w:val="20"/>
                <w:color w:val="auto"/>
              </w:rPr>
            </w:pPr>
            <w:r>
              <w:rPr>
                <w:rFonts w:ascii="Arial" w:cs="Arial" w:eastAsia="Arial" w:hAnsi="Arial"/>
                <w:sz w:val="18"/>
                <w:szCs w:val="18"/>
                <w:b w:val="1"/>
                <w:bCs w:val="1"/>
                <w:color w:val="auto"/>
              </w:rPr>
              <w:t>ITEM 6. EXHIBITS</w:t>
            </w:r>
          </w:p>
        </w:tc>
      </w:tr>
      <w:tr>
        <w:trPr>
          <w:trHeight w:val="432"/>
        </w:trPr>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Exhibit Number</w:t>
            </w:r>
          </w:p>
        </w:tc>
        <w:tc>
          <w:tcPr>
            <w:tcW w:w="9200" w:type="dxa"/>
            <w:vAlign w:val="bottom"/>
            <w:gridSpan w:val="14"/>
          </w:tcPr>
          <w:p>
            <w:pPr>
              <w:spacing w:after="0"/>
              <w:rPr>
                <w:sz w:val="20"/>
                <w:szCs w:val="20"/>
                <w:color w:val="auto"/>
              </w:rPr>
            </w:pPr>
            <w:r>
              <w:rPr>
                <w:rFonts w:ascii="Arial" w:cs="Arial" w:eastAsia="Arial" w:hAnsi="Arial"/>
                <w:sz w:val="18"/>
                <w:szCs w:val="18"/>
                <w:b w:val="1"/>
                <w:bCs w:val="1"/>
                <w:color w:val="auto"/>
              </w:rPr>
              <w:t>Description</w:t>
            </w:r>
          </w:p>
        </w:tc>
      </w:tr>
      <w:tr>
        <w:trPr>
          <w:trHeight w:val="177"/>
        </w:trPr>
        <w:tc>
          <w:tcPr>
            <w:tcW w:w="2040" w:type="dxa"/>
            <w:vAlign w:val="bottom"/>
            <w:tcBorders>
              <w:bottom w:val="single" w:sz="8" w:color="FF4400"/>
            </w:tcBorders>
          </w:tcPr>
          <w:p>
            <w:pPr>
              <w:spacing w:after="0"/>
              <w:rPr>
                <w:sz w:val="15"/>
                <w:szCs w:val="15"/>
                <w:color w:val="auto"/>
              </w:rPr>
            </w:pPr>
          </w:p>
        </w:tc>
        <w:tc>
          <w:tcPr>
            <w:tcW w:w="760" w:type="dxa"/>
            <w:vAlign w:val="bottom"/>
            <w:tcBorders>
              <w:bottom w:val="single" w:sz="8" w:color="FF4400"/>
            </w:tcBorders>
          </w:tcPr>
          <w:p>
            <w:pPr>
              <w:spacing w:after="0"/>
              <w:rPr>
                <w:sz w:val="15"/>
                <w:szCs w:val="15"/>
                <w:color w:val="auto"/>
              </w:rPr>
            </w:pPr>
          </w:p>
        </w:tc>
        <w:tc>
          <w:tcPr>
            <w:tcW w:w="1060" w:type="dxa"/>
            <w:vAlign w:val="bottom"/>
            <w:tcBorders>
              <w:bottom w:val="single" w:sz="8" w:color="FF4400"/>
            </w:tcBorders>
          </w:tcPr>
          <w:p>
            <w:pPr>
              <w:spacing w:after="0"/>
              <w:rPr>
                <w:sz w:val="15"/>
                <w:szCs w:val="15"/>
                <w:color w:val="auto"/>
              </w:rPr>
            </w:pPr>
          </w:p>
        </w:tc>
        <w:tc>
          <w:tcPr>
            <w:tcW w:w="800" w:type="dxa"/>
            <w:vAlign w:val="bottom"/>
            <w:tcBorders>
              <w:bottom w:val="single" w:sz="8" w:color="FF4400"/>
            </w:tcBorders>
          </w:tcPr>
          <w:p>
            <w:pPr>
              <w:spacing w:after="0"/>
              <w:rPr>
                <w:sz w:val="15"/>
                <w:szCs w:val="15"/>
                <w:color w:val="auto"/>
              </w:rPr>
            </w:pPr>
          </w:p>
        </w:tc>
        <w:tc>
          <w:tcPr>
            <w:tcW w:w="2440" w:type="dxa"/>
            <w:vAlign w:val="bottom"/>
            <w:tcBorders>
              <w:bottom w:val="single" w:sz="8" w:color="FF4400"/>
            </w:tcBorders>
          </w:tcPr>
          <w:p>
            <w:pPr>
              <w:spacing w:after="0"/>
              <w:rPr>
                <w:sz w:val="15"/>
                <w:szCs w:val="15"/>
                <w:color w:val="auto"/>
              </w:rPr>
            </w:pPr>
          </w:p>
        </w:tc>
        <w:tc>
          <w:tcPr>
            <w:tcW w:w="500" w:type="dxa"/>
            <w:vAlign w:val="bottom"/>
            <w:tcBorders>
              <w:bottom w:val="single" w:sz="8" w:color="FF4400"/>
            </w:tcBorders>
          </w:tcPr>
          <w:p>
            <w:pPr>
              <w:spacing w:after="0"/>
              <w:rPr>
                <w:sz w:val="15"/>
                <w:szCs w:val="15"/>
                <w:color w:val="auto"/>
              </w:rPr>
            </w:pPr>
          </w:p>
        </w:tc>
        <w:tc>
          <w:tcPr>
            <w:tcW w:w="340" w:type="dxa"/>
            <w:vAlign w:val="bottom"/>
            <w:tcBorders>
              <w:bottom w:val="single" w:sz="8" w:color="FF4400"/>
            </w:tcBorders>
          </w:tcPr>
          <w:p>
            <w:pPr>
              <w:spacing w:after="0"/>
              <w:rPr>
                <w:sz w:val="15"/>
                <w:szCs w:val="15"/>
                <w:color w:val="auto"/>
              </w:rPr>
            </w:pPr>
          </w:p>
        </w:tc>
        <w:tc>
          <w:tcPr>
            <w:tcW w:w="80" w:type="dxa"/>
            <w:vAlign w:val="bottom"/>
            <w:tcBorders>
              <w:bottom w:val="single" w:sz="8" w:color="FF4400"/>
            </w:tcBorders>
          </w:tcPr>
          <w:p>
            <w:pPr>
              <w:spacing w:after="0"/>
              <w:rPr>
                <w:sz w:val="15"/>
                <w:szCs w:val="15"/>
                <w:color w:val="auto"/>
              </w:rPr>
            </w:pPr>
          </w:p>
        </w:tc>
        <w:tc>
          <w:tcPr>
            <w:tcW w:w="420" w:type="dxa"/>
            <w:vAlign w:val="bottom"/>
            <w:tcBorders>
              <w:bottom w:val="single" w:sz="8" w:color="FF4400"/>
            </w:tcBorders>
          </w:tcPr>
          <w:p>
            <w:pPr>
              <w:spacing w:after="0"/>
              <w:rPr>
                <w:sz w:val="15"/>
                <w:szCs w:val="15"/>
                <w:color w:val="auto"/>
              </w:rPr>
            </w:pPr>
          </w:p>
        </w:tc>
        <w:tc>
          <w:tcPr>
            <w:tcW w:w="20" w:type="dxa"/>
            <w:vAlign w:val="bottom"/>
            <w:tcBorders>
              <w:bottom w:val="single" w:sz="8" w:color="FF4400"/>
            </w:tcBorders>
          </w:tcPr>
          <w:p>
            <w:pPr>
              <w:spacing w:after="0"/>
              <w:rPr>
                <w:sz w:val="15"/>
                <w:szCs w:val="15"/>
                <w:color w:val="auto"/>
              </w:rPr>
            </w:pPr>
          </w:p>
        </w:tc>
        <w:tc>
          <w:tcPr>
            <w:tcW w:w="340" w:type="dxa"/>
            <w:vAlign w:val="bottom"/>
            <w:tcBorders>
              <w:bottom w:val="single" w:sz="8" w:color="FF4400"/>
            </w:tcBorders>
          </w:tcPr>
          <w:p>
            <w:pPr>
              <w:spacing w:after="0"/>
              <w:rPr>
                <w:sz w:val="15"/>
                <w:szCs w:val="15"/>
                <w:color w:val="auto"/>
              </w:rPr>
            </w:pPr>
          </w:p>
        </w:tc>
        <w:tc>
          <w:tcPr>
            <w:tcW w:w="1920" w:type="dxa"/>
            <w:vAlign w:val="bottom"/>
            <w:tcBorders>
              <w:bottom w:val="single" w:sz="8" w:color="FF4400"/>
            </w:tcBorders>
          </w:tcPr>
          <w:p>
            <w:pPr>
              <w:spacing w:after="0"/>
              <w:rPr>
                <w:sz w:val="15"/>
                <w:szCs w:val="15"/>
                <w:color w:val="auto"/>
              </w:rPr>
            </w:pPr>
          </w:p>
        </w:tc>
        <w:tc>
          <w:tcPr>
            <w:tcW w:w="480" w:type="dxa"/>
            <w:vAlign w:val="bottom"/>
            <w:tcBorders>
              <w:bottom w:val="single" w:sz="8" w:color="FF4400"/>
            </w:tcBorders>
          </w:tcPr>
          <w:p>
            <w:pPr>
              <w:spacing w:after="0"/>
              <w:rPr>
                <w:sz w:val="15"/>
                <w:szCs w:val="15"/>
                <w:color w:val="auto"/>
              </w:rPr>
            </w:pPr>
          </w:p>
        </w:tc>
        <w:tc>
          <w:tcPr>
            <w:tcW w:w="20" w:type="dxa"/>
            <w:vAlign w:val="bottom"/>
            <w:tcBorders>
              <w:bottom w:val="single" w:sz="8" w:color="FF4400"/>
            </w:tcBorders>
          </w:tcPr>
          <w:p>
            <w:pPr>
              <w:spacing w:after="0"/>
              <w:rPr>
                <w:sz w:val="15"/>
                <w:szCs w:val="15"/>
                <w:color w:val="auto"/>
              </w:rPr>
            </w:pPr>
          </w:p>
        </w:tc>
        <w:tc>
          <w:tcPr>
            <w:tcW w:w="20" w:type="dxa"/>
            <w:vAlign w:val="bottom"/>
            <w:tcBorders>
              <w:bottom w:val="single" w:sz="8" w:color="FF4400"/>
            </w:tcBorders>
          </w:tcPr>
          <w:p>
            <w:pPr>
              <w:spacing w:after="0"/>
              <w:rPr>
                <w:sz w:val="15"/>
                <w:szCs w:val="15"/>
                <w:color w:val="auto"/>
              </w:rPr>
            </w:pPr>
          </w:p>
        </w:tc>
      </w:tr>
      <w:tr>
        <w:trPr>
          <w:trHeight w:val="196"/>
        </w:trPr>
        <w:tc>
          <w:tcPr>
            <w:tcW w:w="2040" w:type="dxa"/>
            <w:vAlign w:val="bottom"/>
          </w:tcPr>
          <w:p>
            <w:pPr>
              <w:ind w:left="20"/>
              <w:spacing w:after="0" w:line="195" w:lineRule="exact"/>
              <w:rPr>
                <w:sz w:val="20"/>
                <w:szCs w:val="20"/>
                <w:color w:val="auto"/>
              </w:rPr>
            </w:pPr>
            <w:r>
              <w:rPr>
                <w:rFonts w:ascii="Arial" w:cs="Arial" w:eastAsia="Arial" w:hAnsi="Arial"/>
                <w:sz w:val="17"/>
                <w:szCs w:val="17"/>
                <w:color w:val="auto"/>
              </w:rPr>
              <w:t>2.1</w:t>
            </w:r>
            <w:r>
              <w:rPr>
                <w:rFonts w:ascii="Arial" w:cs="Arial" w:eastAsia="Arial" w:hAnsi="Arial"/>
                <w:sz w:val="22"/>
                <w:szCs w:val="22"/>
                <w:color w:val="auto"/>
                <w:vertAlign w:val="superscript"/>
              </w:rPr>
              <w:t>#</w:t>
            </w:r>
          </w:p>
        </w:tc>
        <w:tc>
          <w:tcPr>
            <w:tcW w:w="9200" w:type="dxa"/>
            <w:vAlign w:val="bottom"/>
            <w:tcBorders>
              <w:bottom w:val="single" w:sz="8" w:color="0000FF"/>
            </w:tcBorders>
            <w:gridSpan w:val="14"/>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Separation and Distribution Agreement, dated as of June 29, 2026, by and between Honeywell International Inc.</w:t>
              </w:r>
            </w:hyperlink>
          </w:p>
        </w:tc>
      </w:tr>
      <w:tr>
        <w:trPr>
          <w:trHeight w:val="196"/>
        </w:trPr>
        <w:tc>
          <w:tcPr>
            <w:tcW w:w="2040" w:type="dxa"/>
            <w:vAlign w:val="bottom"/>
          </w:tcPr>
          <w:p>
            <w:pPr>
              <w:spacing w:after="0"/>
              <w:rPr>
                <w:sz w:val="17"/>
                <w:szCs w:val="17"/>
                <w:color w:val="auto"/>
              </w:rPr>
            </w:pPr>
          </w:p>
        </w:tc>
        <w:tc>
          <w:tcPr>
            <w:tcW w:w="9200" w:type="dxa"/>
            <w:vAlign w:val="bottom"/>
            <w:gridSpan w:val="14"/>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and Honeywell Aerospace Inc. (incorporated by reference to Exhibit 2.1 of the Company’s Form 8-K filed on June</w:t>
              </w:r>
            </w:hyperlink>
          </w:p>
        </w:tc>
      </w:tr>
      <w:tr>
        <w:trPr>
          <w:trHeight w:val="196"/>
        </w:trPr>
        <w:tc>
          <w:tcPr>
            <w:tcW w:w="2040" w:type="dxa"/>
            <w:vAlign w:val="bottom"/>
          </w:tcPr>
          <w:p>
            <w:pPr>
              <w:spacing w:after="0"/>
              <w:rPr>
                <w:sz w:val="17"/>
                <w:szCs w:val="17"/>
                <w:color w:val="auto"/>
              </w:rPr>
            </w:pPr>
          </w:p>
        </w:tc>
        <w:tc>
          <w:tcPr>
            <w:tcW w:w="182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29, 2026)</w:t>
              </w:r>
            </w:hyperlink>
          </w:p>
        </w:tc>
        <w:tc>
          <w:tcPr>
            <w:tcW w:w="800" w:type="dxa"/>
            <w:vAlign w:val="bottom"/>
            <w:tcBorders>
              <w:top w:val="single" w:sz="8" w:color="0000FF"/>
            </w:tcBorders>
          </w:tcPr>
          <w:p>
            <w:pPr>
              <w:spacing w:after="0"/>
              <w:rPr>
                <w:sz w:val="17"/>
                <w:szCs w:val="17"/>
                <w:color w:val="auto"/>
              </w:rPr>
            </w:pPr>
          </w:p>
        </w:tc>
        <w:tc>
          <w:tcPr>
            <w:tcW w:w="24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2040" w:type="dxa"/>
            <w:vAlign w:val="bottom"/>
            <w:tcBorders>
              <w:bottom w:val="single" w:sz="8" w:color="BFBFBF"/>
            </w:tcBorders>
          </w:tcPr>
          <w:p>
            <w:pPr>
              <w:spacing w:after="0"/>
              <w:rPr>
                <w:sz w:val="18"/>
                <w:szCs w:val="18"/>
                <w:color w:val="auto"/>
              </w:rPr>
            </w:pPr>
          </w:p>
        </w:tc>
        <w:tc>
          <w:tcPr>
            <w:tcW w:w="760" w:type="dxa"/>
            <w:vAlign w:val="bottom"/>
            <w:tcBorders>
              <w:top w:val="single" w:sz="8" w:color="0000FF"/>
              <w:bottom w:val="single" w:sz="8" w:color="BFBFBF"/>
            </w:tcBorders>
          </w:tcPr>
          <w:p>
            <w:pPr>
              <w:spacing w:after="0"/>
              <w:rPr>
                <w:sz w:val="18"/>
                <w:szCs w:val="18"/>
                <w:color w:val="auto"/>
              </w:rPr>
            </w:pPr>
          </w:p>
        </w:tc>
        <w:tc>
          <w:tcPr>
            <w:tcW w:w="1060" w:type="dxa"/>
            <w:vAlign w:val="bottom"/>
            <w:tcBorders>
              <w:bottom w:val="single" w:sz="8" w:color="BFBFBF"/>
            </w:tcBorders>
          </w:tcPr>
          <w:p>
            <w:pPr>
              <w:spacing w:after="0"/>
              <w:rPr>
                <w:sz w:val="18"/>
                <w:szCs w:val="18"/>
                <w:color w:val="auto"/>
              </w:rPr>
            </w:pPr>
          </w:p>
        </w:tc>
        <w:tc>
          <w:tcPr>
            <w:tcW w:w="800" w:type="dxa"/>
            <w:vAlign w:val="bottom"/>
            <w:tcBorders>
              <w:bottom w:val="single" w:sz="8" w:color="BFBFBF"/>
            </w:tcBorders>
          </w:tcPr>
          <w:p>
            <w:pPr>
              <w:spacing w:after="0"/>
              <w:rPr>
                <w:sz w:val="18"/>
                <w:szCs w:val="18"/>
                <w:color w:val="auto"/>
              </w:rPr>
            </w:pPr>
          </w:p>
        </w:tc>
        <w:tc>
          <w:tcPr>
            <w:tcW w:w="2440" w:type="dxa"/>
            <w:vAlign w:val="bottom"/>
            <w:tcBorders>
              <w:bottom w:val="single" w:sz="8" w:color="BFBFBF"/>
            </w:tcBorders>
          </w:tcPr>
          <w:p>
            <w:pPr>
              <w:spacing w:after="0"/>
              <w:rPr>
                <w:sz w:val="18"/>
                <w:szCs w:val="18"/>
                <w:color w:val="auto"/>
              </w:rPr>
            </w:pPr>
          </w:p>
        </w:tc>
        <w:tc>
          <w:tcPr>
            <w:tcW w:w="500" w:type="dxa"/>
            <w:vAlign w:val="bottom"/>
            <w:tcBorders>
              <w:bottom w:val="single" w:sz="8" w:color="BFBFBF"/>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80" w:type="dxa"/>
            <w:vAlign w:val="bottom"/>
            <w:tcBorders>
              <w:bottom w:val="single" w:sz="8" w:color="BFBFBF"/>
            </w:tcBorders>
          </w:tcPr>
          <w:p>
            <w:pPr>
              <w:spacing w:after="0"/>
              <w:rPr>
                <w:sz w:val="18"/>
                <w:szCs w:val="18"/>
                <w:color w:val="auto"/>
              </w:rPr>
            </w:pPr>
          </w:p>
        </w:tc>
        <w:tc>
          <w:tcPr>
            <w:tcW w:w="4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1920" w:type="dxa"/>
            <w:vAlign w:val="bottom"/>
            <w:tcBorders>
              <w:bottom w:val="single" w:sz="8" w:color="BFBFBF"/>
            </w:tcBorders>
          </w:tcPr>
          <w:p>
            <w:pPr>
              <w:spacing w:after="0"/>
              <w:rPr>
                <w:sz w:val="18"/>
                <w:szCs w:val="18"/>
                <w:color w:val="auto"/>
              </w:rPr>
            </w:pPr>
          </w:p>
        </w:tc>
        <w:tc>
          <w:tcPr>
            <w:tcW w:w="48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9180" w:type="dxa"/>
            <w:vAlign w:val="bottom"/>
            <w:tcBorders>
              <w:bottom w:val="single" w:sz="8" w:color="0000FF"/>
            </w:tcBorders>
            <w:gridSpan w:val="13"/>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Second Amended and Restated Certificate of Incorporation of Honeywell Aerospace Inc. (incorporated by</w:t>
              </w:r>
            </w:hyperlink>
          </w:p>
        </w:tc>
        <w:tc>
          <w:tcPr>
            <w:tcW w:w="20" w:type="dxa"/>
            <w:vAlign w:val="bottom"/>
          </w:tcPr>
          <w:p>
            <w:pPr>
              <w:spacing w:after="0"/>
              <w:rPr>
                <w:sz w:val="17"/>
                <w:szCs w:val="17"/>
                <w:color w:val="auto"/>
              </w:rPr>
            </w:pPr>
          </w:p>
        </w:tc>
      </w:tr>
      <w:tr>
        <w:trPr>
          <w:trHeight w:val="196"/>
        </w:trPr>
        <w:tc>
          <w:tcPr>
            <w:tcW w:w="2040" w:type="dxa"/>
            <w:vAlign w:val="bottom"/>
          </w:tcPr>
          <w:p>
            <w:pPr>
              <w:spacing w:after="0"/>
              <w:rPr>
                <w:sz w:val="17"/>
                <w:szCs w:val="17"/>
                <w:color w:val="auto"/>
              </w:rPr>
            </w:pPr>
          </w:p>
        </w:tc>
        <w:tc>
          <w:tcPr>
            <w:tcW w:w="9200" w:type="dxa"/>
            <w:vAlign w:val="bottom"/>
            <w:gridSpan w:val="14"/>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reference to Exhibit 3.1 of the Company’s Form 8-K filed on June 29, 2026)</w:t>
              </w:r>
            </w:hyperlink>
          </w:p>
        </w:tc>
      </w:tr>
      <w:tr>
        <w:trPr>
          <w:trHeight w:val="210"/>
        </w:trPr>
        <w:tc>
          <w:tcPr>
            <w:tcW w:w="2040" w:type="dxa"/>
            <w:vAlign w:val="bottom"/>
            <w:tcBorders>
              <w:bottom w:val="single" w:sz="8" w:color="BFBFBF"/>
            </w:tcBorders>
          </w:tcPr>
          <w:p>
            <w:pPr>
              <w:spacing w:after="0"/>
              <w:rPr>
                <w:sz w:val="18"/>
                <w:szCs w:val="18"/>
                <w:color w:val="auto"/>
              </w:rPr>
            </w:pPr>
          </w:p>
        </w:tc>
        <w:tc>
          <w:tcPr>
            <w:tcW w:w="760" w:type="dxa"/>
            <w:vAlign w:val="bottom"/>
            <w:tcBorders>
              <w:top w:val="single" w:sz="8" w:color="0000FF"/>
              <w:bottom w:val="single" w:sz="8" w:color="BFBFBF"/>
            </w:tcBorders>
          </w:tcPr>
          <w:p>
            <w:pPr>
              <w:spacing w:after="0"/>
              <w:rPr>
                <w:sz w:val="18"/>
                <w:szCs w:val="18"/>
                <w:color w:val="auto"/>
              </w:rPr>
            </w:pPr>
          </w:p>
        </w:tc>
        <w:tc>
          <w:tcPr>
            <w:tcW w:w="1060" w:type="dxa"/>
            <w:vAlign w:val="bottom"/>
            <w:tcBorders>
              <w:top w:val="single" w:sz="8" w:color="0000FF"/>
              <w:bottom w:val="single" w:sz="8" w:color="BFBFBF"/>
            </w:tcBorders>
          </w:tcPr>
          <w:p>
            <w:pPr>
              <w:spacing w:after="0"/>
              <w:rPr>
                <w:sz w:val="18"/>
                <w:szCs w:val="18"/>
                <w:color w:val="auto"/>
              </w:rPr>
            </w:pPr>
          </w:p>
        </w:tc>
        <w:tc>
          <w:tcPr>
            <w:tcW w:w="800" w:type="dxa"/>
            <w:vAlign w:val="bottom"/>
            <w:tcBorders>
              <w:top w:val="single" w:sz="8" w:color="0000FF"/>
              <w:bottom w:val="single" w:sz="8" w:color="BFBFBF"/>
            </w:tcBorders>
          </w:tcPr>
          <w:p>
            <w:pPr>
              <w:spacing w:after="0"/>
              <w:rPr>
                <w:sz w:val="18"/>
                <w:szCs w:val="18"/>
                <w:color w:val="auto"/>
              </w:rPr>
            </w:pPr>
          </w:p>
        </w:tc>
        <w:tc>
          <w:tcPr>
            <w:tcW w:w="2440" w:type="dxa"/>
            <w:vAlign w:val="bottom"/>
            <w:tcBorders>
              <w:top w:val="single" w:sz="8" w:color="0000FF"/>
              <w:bottom w:val="single" w:sz="8" w:color="BFBFBF"/>
            </w:tcBorders>
          </w:tcPr>
          <w:p>
            <w:pPr>
              <w:spacing w:after="0"/>
              <w:rPr>
                <w:sz w:val="18"/>
                <w:szCs w:val="18"/>
                <w:color w:val="auto"/>
              </w:rPr>
            </w:pPr>
          </w:p>
        </w:tc>
        <w:tc>
          <w:tcPr>
            <w:tcW w:w="500" w:type="dxa"/>
            <w:vAlign w:val="bottom"/>
            <w:tcBorders>
              <w:top w:val="single" w:sz="8" w:color="0000FF"/>
              <w:bottom w:val="single" w:sz="8" w:color="BFBFBF"/>
            </w:tcBorders>
          </w:tcPr>
          <w:p>
            <w:pPr>
              <w:spacing w:after="0"/>
              <w:rPr>
                <w:sz w:val="18"/>
                <w:szCs w:val="18"/>
                <w:color w:val="auto"/>
              </w:rPr>
            </w:pPr>
          </w:p>
        </w:tc>
        <w:tc>
          <w:tcPr>
            <w:tcW w:w="340" w:type="dxa"/>
            <w:vAlign w:val="bottom"/>
            <w:tcBorders>
              <w:top w:val="single" w:sz="8" w:color="0000FF"/>
              <w:bottom w:val="single" w:sz="8" w:color="BFBFBF"/>
            </w:tcBorders>
          </w:tcPr>
          <w:p>
            <w:pPr>
              <w:spacing w:after="0"/>
              <w:rPr>
                <w:sz w:val="18"/>
                <w:szCs w:val="18"/>
                <w:color w:val="auto"/>
              </w:rPr>
            </w:pPr>
          </w:p>
        </w:tc>
        <w:tc>
          <w:tcPr>
            <w:tcW w:w="80" w:type="dxa"/>
            <w:vAlign w:val="bottom"/>
            <w:tcBorders>
              <w:top w:val="single" w:sz="8" w:color="0000FF"/>
              <w:bottom w:val="single" w:sz="8" w:color="BFBFBF"/>
            </w:tcBorders>
          </w:tcPr>
          <w:p>
            <w:pPr>
              <w:spacing w:after="0"/>
              <w:rPr>
                <w:sz w:val="18"/>
                <w:szCs w:val="18"/>
                <w:color w:val="auto"/>
              </w:rPr>
            </w:pPr>
          </w:p>
        </w:tc>
        <w:tc>
          <w:tcPr>
            <w:tcW w:w="4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1920" w:type="dxa"/>
            <w:vAlign w:val="bottom"/>
            <w:tcBorders>
              <w:bottom w:val="single" w:sz="8" w:color="BFBFBF"/>
            </w:tcBorders>
          </w:tcPr>
          <w:p>
            <w:pPr>
              <w:spacing w:after="0"/>
              <w:rPr>
                <w:sz w:val="18"/>
                <w:szCs w:val="18"/>
                <w:color w:val="auto"/>
              </w:rPr>
            </w:pPr>
          </w:p>
        </w:tc>
        <w:tc>
          <w:tcPr>
            <w:tcW w:w="48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3.2</w:t>
            </w:r>
          </w:p>
        </w:tc>
        <w:tc>
          <w:tcPr>
            <w:tcW w:w="9180" w:type="dxa"/>
            <w:vAlign w:val="bottom"/>
            <w:tcBorders>
              <w:bottom w:val="single" w:sz="8" w:color="0000FF"/>
            </w:tcBorders>
            <w:gridSpan w:val="13"/>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Amended and Restated By-laws of Honeywell Aerospace Inc., dated as of June 29, 2026 (incorporated by</w:t>
              </w:r>
            </w:hyperlink>
          </w:p>
        </w:tc>
        <w:tc>
          <w:tcPr>
            <w:tcW w:w="20" w:type="dxa"/>
            <w:vAlign w:val="bottom"/>
          </w:tcPr>
          <w:p>
            <w:pPr>
              <w:spacing w:after="0"/>
              <w:rPr>
                <w:sz w:val="17"/>
                <w:szCs w:val="17"/>
                <w:color w:val="auto"/>
              </w:rPr>
            </w:pPr>
          </w:p>
        </w:tc>
      </w:tr>
      <w:tr>
        <w:trPr>
          <w:trHeight w:val="196"/>
        </w:trPr>
        <w:tc>
          <w:tcPr>
            <w:tcW w:w="2040" w:type="dxa"/>
            <w:vAlign w:val="bottom"/>
          </w:tcPr>
          <w:p>
            <w:pPr>
              <w:spacing w:after="0"/>
              <w:rPr>
                <w:sz w:val="17"/>
                <w:szCs w:val="17"/>
                <w:color w:val="auto"/>
              </w:rPr>
            </w:pPr>
          </w:p>
        </w:tc>
        <w:tc>
          <w:tcPr>
            <w:tcW w:w="9200" w:type="dxa"/>
            <w:vAlign w:val="bottom"/>
            <w:gridSpan w:val="14"/>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reference to Exhibit 3.2 of the Company’s Form 8-K filed on June 29, 2026)</w:t>
              </w:r>
            </w:hyperlink>
          </w:p>
        </w:tc>
      </w:tr>
      <w:tr>
        <w:trPr>
          <w:trHeight w:val="209"/>
        </w:trPr>
        <w:tc>
          <w:tcPr>
            <w:tcW w:w="2040" w:type="dxa"/>
            <w:vAlign w:val="bottom"/>
            <w:tcBorders>
              <w:bottom w:val="single" w:sz="8" w:color="BFBFBF"/>
            </w:tcBorders>
          </w:tcPr>
          <w:p>
            <w:pPr>
              <w:spacing w:after="0"/>
              <w:rPr>
                <w:sz w:val="18"/>
                <w:szCs w:val="18"/>
                <w:color w:val="auto"/>
              </w:rPr>
            </w:pPr>
          </w:p>
        </w:tc>
        <w:tc>
          <w:tcPr>
            <w:tcW w:w="760" w:type="dxa"/>
            <w:vAlign w:val="bottom"/>
            <w:tcBorders>
              <w:top w:val="single" w:sz="8" w:color="0000FF"/>
              <w:bottom w:val="single" w:sz="8" w:color="BFBFBF"/>
            </w:tcBorders>
          </w:tcPr>
          <w:p>
            <w:pPr>
              <w:spacing w:after="0"/>
              <w:rPr>
                <w:sz w:val="18"/>
                <w:szCs w:val="18"/>
                <w:color w:val="auto"/>
              </w:rPr>
            </w:pPr>
          </w:p>
        </w:tc>
        <w:tc>
          <w:tcPr>
            <w:tcW w:w="1060" w:type="dxa"/>
            <w:vAlign w:val="bottom"/>
            <w:tcBorders>
              <w:top w:val="single" w:sz="8" w:color="0000FF"/>
              <w:bottom w:val="single" w:sz="8" w:color="BFBFBF"/>
            </w:tcBorders>
          </w:tcPr>
          <w:p>
            <w:pPr>
              <w:spacing w:after="0"/>
              <w:rPr>
                <w:sz w:val="18"/>
                <w:szCs w:val="18"/>
                <w:color w:val="auto"/>
              </w:rPr>
            </w:pPr>
          </w:p>
        </w:tc>
        <w:tc>
          <w:tcPr>
            <w:tcW w:w="800" w:type="dxa"/>
            <w:vAlign w:val="bottom"/>
            <w:tcBorders>
              <w:top w:val="single" w:sz="8" w:color="0000FF"/>
              <w:bottom w:val="single" w:sz="8" w:color="BFBFBF"/>
            </w:tcBorders>
          </w:tcPr>
          <w:p>
            <w:pPr>
              <w:spacing w:after="0"/>
              <w:rPr>
                <w:sz w:val="18"/>
                <w:szCs w:val="18"/>
                <w:color w:val="auto"/>
              </w:rPr>
            </w:pPr>
          </w:p>
        </w:tc>
        <w:tc>
          <w:tcPr>
            <w:tcW w:w="2440" w:type="dxa"/>
            <w:vAlign w:val="bottom"/>
            <w:tcBorders>
              <w:top w:val="single" w:sz="8" w:color="0000FF"/>
              <w:bottom w:val="single" w:sz="8" w:color="BFBFBF"/>
            </w:tcBorders>
          </w:tcPr>
          <w:p>
            <w:pPr>
              <w:spacing w:after="0"/>
              <w:rPr>
                <w:sz w:val="18"/>
                <w:szCs w:val="18"/>
                <w:color w:val="auto"/>
              </w:rPr>
            </w:pPr>
          </w:p>
        </w:tc>
        <w:tc>
          <w:tcPr>
            <w:tcW w:w="500" w:type="dxa"/>
            <w:vAlign w:val="bottom"/>
            <w:tcBorders>
              <w:top w:val="single" w:sz="8" w:color="0000FF"/>
              <w:bottom w:val="single" w:sz="8" w:color="BFBFBF"/>
            </w:tcBorders>
          </w:tcPr>
          <w:p>
            <w:pPr>
              <w:spacing w:after="0"/>
              <w:rPr>
                <w:sz w:val="18"/>
                <w:szCs w:val="18"/>
                <w:color w:val="auto"/>
              </w:rPr>
            </w:pPr>
          </w:p>
        </w:tc>
        <w:tc>
          <w:tcPr>
            <w:tcW w:w="340" w:type="dxa"/>
            <w:vAlign w:val="bottom"/>
            <w:tcBorders>
              <w:top w:val="single" w:sz="8" w:color="0000FF"/>
              <w:bottom w:val="single" w:sz="8" w:color="BFBFBF"/>
            </w:tcBorders>
          </w:tcPr>
          <w:p>
            <w:pPr>
              <w:spacing w:after="0"/>
              <w:rPr>
                <w:sz w:val="18"/>
                <w:szCs w:val="18"/>
                <w:color w:val="auto"/>
              </w:rPr>
            </w:pPr>
          </w:p>
        </w:tc>
        <w:tc>
          <w:tcPr>
            <w:tcW w:w="80" w:type="dxa"/>
            <w:vAlign w:val="bottom"/>
            <w:tcBorders>
              <w:top w:val="single" w:sz="8" w:color="0000FF"/>
              <w:bottom w:val="single" w:sz="8" w:color="BFBFBF"/>
            </w:tcBorders>
          </w:tcPr>
          <w:p>
            <w:pPr>
              <w:spacing w:after="0"/>
              <w:rPr>
                <w:sz w:val="18"/>
                <w:szCs w:val="18"/>
                <w:color w:val="auto"/>
              </w:rPr>
            </w:pPr>
          </w:p>
        </w:tc>
        <w:tc>
          <w:tcPr>
            <w:tcW w:w="4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1920" w:type="dxa"/>
            <w:vAlign w:val="bottom"/>
            <w:tcBorders>
              <w:bottom w:val="single" w:sz="8" w:color="BFBFBF"/>
            </w:tcBorders>
          </w:tcPr>
          <w:p>
            <w:pPr>
              <w:spacing w:after="0"/>
              <w:rPr>
                <w:sz w:val="18"/>
                <w:szCs w:val="18"/>
                <w:color w:val="auto"/>
              </w:rPr>
            </w:pPr>
          </w:p>
        </w:tc>
        <w:tc>
          <w:tcPr>
            <w:tcW w:w="48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5" w:lineRule="exact"/>
              <w:rPr>
                <w:sz w:val="20"/>
                <w:szCs w:val="20"/>
                <w:color w:val="auto"/>
              </w:rPr>
            </w:pPr>
            <w:r>
              <w:rPr>
                <w:rFonts w:ascii="Arial" w:cs="Arial" w:eastAsia="Arial" w:hAnsi="Arial"/>
                <w:sz w:val="17"/>
                <w:szCs w:val="17"/>
                <w:color w:val="auto"/>
              </w:rPr>
              <w:t>10.1</w:t>
            </w:r>
            <w:r>
              <w:rPr>
                <w:rFonts w:ascii="Arial" w:cs="Arial" w:eastAsia="Arial" w:hAnsi="Arial"/>
                <w:sz w:val="22"/>
                <w:szCs w:val="22"/>
                <w:color w:val="auto"/>
                <w:vertAlign w:val="superscript"/>
              </w:rPr>
              <w:t>#</w:t>
            </w:r>
          </w:p>
        </w:tc>
        <w:tc>
          <w:tcPr>
            <w:tcW w:w="9180" w:type="dxa"/>
            <w:vAlign w:val="bottom"/>
            <w:tcBorders>
              <w:bottom w:val="single" w:sz="8" w:color="0000FF"/>
            </w:tcBorders>
            <w:gridSpan w:val="13"/>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Transition Services Agreement, dated June 29, 2026, by and between Honeywell International Inc. and Honeywell</w:t>
              </w:r>
            </w:hyperlink>
          </w:p>
        </w:tc>
        <w:tc>
          <w:tcPr>
            <w:tcW w:w="20" w:type="dxa"/>
            <w:vAlign w:val="bottom"/>
          </w:tcPr>
          <w:p>
            <w:pPr>
              <w:spacing w:after="0"/>
              <w:rPr>
                <w:sz w:val="17"/>
                <w:szCs w:val="17"/>
                <w:color w:val="auto"/>
              </w:rPr>
            </w:pPr>
          </w:p>
        </w:tc>
      </w:tr>
      <w:tr>
        <w:trPr>
          <w:trHeight w:val="196"/>
        </w:trPr>
        <w:tc>
          <w:tcPr>
            <w:tcW w:w="2040" w:type="dxa"/>
            <w:vAlign w:val="bottom"/>
          </w:tcPr>
          <w:p>
            <w:pPr>
              <w:spacing w:after="0"/>
              <w:rPr>
                <w:sz w:val="17"/>
                <w:szCs w:val="17"/>
                <w:color w:val="auto"/>
              </w:rPr>
            </w:pPr>
          </w:p>
        </w:tc>
        <w:tc>
          <w:tcPr>
            <w:tcW w:w="9200" w:type="dxa"/>
            <w:vAlign w:val="bottom"/>
            <w:gridSpan w:val="14"/>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Aerospace Inc. (incorporated by reference to Exhibit 10.1 of the Company’s Form 8-K filed on June 29, 2026)</w:t>
              </w:r>
            </w:hyperlink>
          </w:p>
        </w:tc>
      </w:tr>
      <w:tr>
        <w:trPr>
          <w:trHeight w:val="210"/>
        </w:trPr>
        <w:tc>
          <w:tcPr>
            <w:tcW w:w="2040" w:type="dxa"/>
            <w:vAlign w:val="bottom"/>
            <w:tcBorders>
              <w:bottom w:val="single" w:sz="8" w:color="BFBFBF"/>
            </w:tcBorders>
          </w:tcPr>
          <w:p>
            <w:pPr>
              <w:spacing w:after="0"/>
              <w:rPr>
                <w:sz w:val="18"/>
                <w:szCs w:val="18"/>
                <w:color w:val="auto"/>
              </w:rPr>
            </w:pPr>
          </w:p>
        </w:tc>
        <w:tc>
          <w:tcPr>
            <w:tcW w:w="760" w:type="dxa"/>
            <w:vAlign w:val="bottom"/>
            <w:tcBorders>
              <w:top w:val="single" w:sz="8" w:color="0000FF"/>
              <w:bottom w:val="single" w:sz="8" w:color="BFBFBF"/>
            </w:tcBorders>
          </w:tcPr>
          <w:p>
            <w:pPr>
              <w:spacing w:after="0"/>
              <w:rPr>
                <w:sz w:val="18"/>
                <w:szCs w:val="18"/>
                <w:color w:val="auto"/>
              </w:rPr>
            </w:pPr>
          </w:p>
        </w:tc>
        <w:tc>
          <w:tcPr>
            <w:tcW w:w="1060" w:type="dxa"/>
            <w:vAlign w:val="bottom"/>
            <w:tcBorders>
              <w:top w:val="single" w:sz="8" w:color="0000FF"/>
              <w:bottom w:val="single" w:sz="8" w:color="BFBFBF"/>
            </w:tcBorders>
          </w:tcPr>
          <w:p>
            <w:pPr>
              <w:spacing w:after="0"/>
              <w:rPr>
                <w:sz w:val="18"/>
                <w:szCs w:val="18"/>
                <w:color w:val="auto"/>
              </w:rPr>
            </w:pPr>
          </w:p>
        </w:tc>
        <w:tc>
          <w:tcPr>
            <w:tcW w:w="800" w:type="dxa"/>
            <w:vAlign w:val="bottom"/>
            <w:tcBorders>
              <w:top w:val="single" w:sz="8" w:color="0000FF"/>
              <w:bottom w:val="single" w:sz="8" w:color="BFBFBF"/>
            </w:tcBorders>
          </w:tcPr>
          <w:p>
            <w:pPr>
              <w:spacing w:after="0"/>
              <w:rPr>
                <w:sz w:val="18"/>
                <w:szCs w:val="18"/>
                <w:color w:val="auto"/>
              </w:rPr>
            </w:pPr>
          </w:p>
        </w:tc>
        <w:tc>
          <w:tcPr>
            <w:tcW w:w="2440" w:type="dxa"/>
            <w:vAlign w:val="bottom"/>
            <w:tcBorders>
              <w:top w:val="single" w:sz="8" w:color="0000FF"/>
              <w:bottom w:val="single" w:sz="8" w:color="BFBFBF"/>
            </w:tcBorders>
          </w:tcPr>
          <w:p>
            <w:pPr>
              <w:spacing w:after="0"/>
              <w:rPr>
                <w:sz w:val="18"/>
                <w:szCs w:val="18"/>
                <w:color w:val="auto"/>
              </w:rPr>
            </w:pPr>
          </w:p>
        </w:tc>
        <w:tc>
          <w:tcPr>
            <w:tcW w:w="500" w:type="dxa"/>
            <w:vAlign w:val="bottom"/>
            <w:tcBorders>
              <w:top w:val="single" w:sz="8" w:color="0000FF"/>
              <w:bottom w:val="single" w:sz="8" w:color="BFBFBF"/>
            </w:tcBorders>
          </w:tcPr>
          <w:p>
            <w:pPr>
              <w:spacing w:after="0"/>
              <w:rPr>
                <w:sz w:val="18"/>
                <w:szCs w:val="18"/>
                <w:color w:val="auto"/>
              </w:rPr>
            </w:pPr>
          </w:p>
        </w:tc>
        <w:tc>
          <w:tcPr>
            <w:tcW w:w="340" w:type="dxa"/>
            <w:vAlign w:val="bottom"/>
            <w:tcBorders>
              <w:top w:val="single" w:sz="8" w:color="0000FF"/>
              <w:bottom w:val="single" w:sz="8" w:color="BFBFBF"/>
            </w:tcBorders>
          </w:tcPr>
          <w:p>
            <w:pPr>
              <w:spacing w:after="0"/>
              <w:rPr>
                <w:sz w:val="18"/>
                <w:szCs w:val="18"/>
                <w:color w:val="auto"/>
              </w:rPr>
            </w:pPr>
          </w:p>
        </w:tc>
        <w:tc>
          <w:tcPr>
            <w:tcW w:w="80" w:type="dxa"/>
            <w:vAlign w:val="bottom"/>
            <w:tcBorders>
              <w:top w:val="single" w:sz="8" w:color="0000FF"/>
              <w:bottom w:val="single" w:sz="8" w:color="BFBFBF"/>
            </w:tcBorders>
          </w:tcPr>
          <w:p>
            <w:pPr>
              <w:spacing w:after="0"/>
              <w:rPr>
                <w:sz w:val="18"/>
                <w:szCs w:val="18"/>
                <w:color w:val="auto"/>
              </w:rPr>
            </w:pPr>
          </w:p>
        </w:tc>
        <w:tc>
          <w:tcPr>
            <w:tcW w:w="420" w:type="dxa"/>
            <w:vAlign w:val="bottom"/>
            <w:tcBorders>
              <w:top w:val="single" w:sz="8" w:color="0000FF"/>
              <w:bottom w:val="single" w:sz="8" w:color="BFBFBF"/>
            </w:tcBorders>
          </w:tcPr>
          <w:p>
            <w:pPr>
              <w:spacing w:after="0"/>
              <w:rPr>
                <w:sz w:val="18"/>
                <w:szCs w:val="18"/>
                <w:color w:val="auto"/>
              </w:rPr>
            </w:pPr>
          </w:p>
        </w:tc>
        <w:tc>
          <w:tcPr>
            <w:tcW w:w="20" w:type="dxa"/>
            <w:vAlign w:val="bottom"/>
            <w:tcBorders>
              <w:top w:val="single" w:sz="8" w:color="0000FF"/>
              <w:bottom w:val="single" w:sz="8" w:color="BFBFBF"/>
            </w:tcBorders>
          </w:tcPr>
          <w:p>
            <w:pPr>
              <w:spacing w:after="0"/>
              <w:rPr>
                <w:sz w:val="18"/>
                <w:szCs w:val="18"/>
                <w:color w:val="auto"/>
              </w:rPr>
            </w:pPr>
          </w:p>
        </w:tc>
        <w:tc>
          <w:tcPr>
            <w:tcW w:w="340" w:type="dxa"/>
            <w:vAlign w:val="bottom"/>
            <w:tcBorders>
              <w:top w:val="single" w:sz="8" w:color="0000FF"/>
              <w:bottom w:val="single" w:sz="8" w:color="BFBFBF"/>
            </w:tcBorders>
          </w:tcPr>
          <w:p>
            <w:pPr>
              <w:spacing w:after="0"/>
              <w:rPr>
                <w:sz w:val="18"/>
                <w:szCs w:val="18"/>
                <w:color w:val="auto"/>
              </w:rPr>
            </w:pPr>
          </w:p>
        </w:tc>
        <w:tc>
          <w:tcPr>
            <w:tcW w:w="1920" w:type="dxa"/>
            <w:vAlign w:val="bottom"/>
            <w:tcBorders>
              <w:top w:val="single" w:sz="8" w:color="0000FF"/>
              <w:bottom w:val="single" w:sz="8" w:color="BFBFBF"/>
            </w:tcBorders>
          </w:tcPr>
          <w:p>
            <w:pPr>
              <w:spacing w:after="0"/>
              <w:rPr>
                <w:sz w:val="18"/>
                <w:szCs w:val="18"/>
                <w:color w:val="auto"/>
              </w:rPr>
            </w:pPr>
          </w:p>
        </w:tc>
        <w:tc>
          <w:tcPr>
            <w:tcW w:w="48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5" w:lineRule="exact"/>
              <w:rPr>
                <w:sz w:val="20"/>
                <w:szCs w:val="20"/>
                <w:color w:val="auto"/>
              </w:rPr>
            </w:pPr>
            <w:r>
              <w:rPr>
                <w:rFonts w:ascii="Arial" w:cs="Arial" w:eastAsia="Arial" w:hAnsi="Arial"/>
                <w:sz w:val="17"/>
                <w:szCs w:val="17"/>
                <w:color w:val="auto"/>
              </w:rPr>
              <w:t>10.2</w:t>
            </w:r>
            <w:r>
              <w:rPr>
                <w:rFonts w:ascii="Arial" w:cs="Arial" w:eastAsia="Arial" w:hAnsi="Arial"/>
                <w:sz w:val="22"/>
                <w:szCs w:val="22"/>
                <w:color w:val="auto"/>
                <w:vertAlign w:val="superscript"/>
              </w:rPr>
              <w:t>#</w:t>
            </w:r>
          </w:p>
        </w:tc>
        <w:tc>
          <w:tcPr>
            <w:tcW w:w="9180" w:type="dxa"/>
            <w:vAlign w:val="bottom"/>
            <w:tcBorders>
              <w:bottom w:val="single" w:sz="8" w:color="0000FF"/>
            </w:tcBorders>
            <w:gridSpan w:val="13"/>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Tax Matters Agreement, dated June 29, 2026, by and between Honeywell International Inc. and Honeywell</w:t>
              </w:r>
            </w:hyperlink>
          </w:p>
        </w:tc>
        <w:tc>
          <w:tcPr>
            <w:tcW w:w="20" w:type="dxa"/>
            <w:vAlign w:val="bottom"/>
          </w:tcPr>
          <w:p>
            <w:pPr>
              <w:spacing w:after="0"/>
              <w:rPr>
                <w:sz w:val="17"/>
                <w:szCs w:val="17"/>
                <w:color w:val="auto"/>
              </w:rPr>
            </w:pPr>
          </w:p>
        </w:tc>
      </w:tr>
      <w:tr>
        <w:trPr>
          <w:trHeight w:val="196"/>
        </w:trPr>
        <w:tc>
          <w:tcPr>
            <w:tcW w:w="2040" w:type="dxa"/>
            <w:vAlign w:val="bottom"/>
          </w:tcPr>
          <w:p>
            <w:pPr>
              <w:spacing w:after="0"/>
              <w:rPr>
                <w:sz w:val="17"/>
                <w:szCs w:val="17"/>
                <w:color w:val="auto"/>
              </w:rPr>
            </w:pPr>
          </w:p>
        </w:tc>
        <w:tc>
          <w:tcPr>
            <w:tcW w:w="9200" w:type="dxa"/>
            <w:vAlign w:val="bottom"/>
            <w:gridSpan w:val="14"/>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Aerospace Inc. (incorporated by reference to Exhibit 10.2 of the Company’s Form 8-K filed on June 29, 2026)</w:t>
              </w:r>
            </w:hyperlink>
          </w:p>
        </w:tc>
      </w:tr>
      <w:tr>
        <w:trPr>
          <w:trHeight w:val="210"/>
        </w:trPr>
        <w:tc>
          <w:tcPr>
            <w:tcW w:w="2040" w:type="dxa"/>
            <w:vAlign w:val="bottom"/>
            <w:tcBorders>
              <w:bottom w:val="single" w:sz="8" w:color="BFBFBF"/>
            </w:tcBorders>
          </w:tcPr>
          <w:p>
            <w:pPr>
              <w:spacing w:after="0"/>
              <w:rPr>
                <w:sz w:val="18"/>
                <w:szCs w:val="18"/>
                <w:color w:val="auto"/>
              </w:rPr>
            </w:pPr>
          </w:p>
        </w:tc>
        <w:tc>
          <w:tcPr>
            <w:tcW w:w="760" w:type="dxa"/>
            <w:vAlign w:val="bottom"/>
            <w:tcBorders>
              <w:top w:val="single" w:sz="8" w:color="0000FF"/>
              <w:bottom w:val="single" w:sz="8" w:color="BFBFBF"/>
            </w:tcBorders>
          </w:tcPr>
          <w:p>
            <w:pPr>
              <w:spacing w:after="0"/>
              <w:rPr>
                <w:sz w:val="18"/>
                <w:szCs w:val="18"/>
                <w:color w:val="auto"/>
              </w:rPr>
            </w:pPr>
          </w:p>
        </w:tc>
        <w:tc>
          <w:tcPr>
            <w:tcW w:w="1060" w:type="dxa"/>
            <w:vAlign w:val="bottom"/>
            <w:tcBorders>
              <w:top w:val="single" w:sz="8" w:color="0000FF"/>
              <w:bottom w:val="single" w:sz="8" w:color="BFBFBF"/>
            </w:tcBorders>
          </w:tcPr>
          <w:p>
            <w:pPr>
              <w:spacing w:after="0"/>
              <w:rPr>
                <w:sz w:val="18"/>
                <w:szCs w:val="18"/>
                <w:color w:val="auto"/>
              </w:rPr>
            </w:pPr>
          </w:p>
        </w:tc>
        <w:tc>
          <w:tcPr>
            <w:tcW w:w="800" w:type="dxa"/>
            <w:vAlign w:val="bottom"/>
            <w:tcBorders>
              <w:top w:val="single" w:sz="8" w:color="0000FF"/>
              <w:bottom w:val="single" w:sz="8" w:color="BFBFBF"/>
            </w:tcBorders>
          </w:tcPr>
          <w:p>
            <w:pPr>
              <w:spacing w:after="0"/>
              <w:rPr>
                <w:sz w:val="18"/>
                <w:szCs w:val="18"/>
                <w:color w:val="auto"/>
              </w:rPr>
            </w:pPr>
          </w:p>
        </w:tc>
        <w:tc>
          <w:tcPr>
            <w:tcW w:w="2440" w:type="dxa"/>
            <w:vAlign w:val="bottom"/>
            <w:tcBorders>
              <w:top w:val="single" w:sz="8" w:color="0000FF"/>
              <w:bottom w:val="single" w:sz="8" w:color="BFBFBF"/>
            </w:tcBorders>
          </w:tcPr>
          <w:p>
            <w:pPr>
              <w:spacing w:after="0"/>
              <w:rPr>
                <w:sz w:val="18"/>
                <w:szCs w:val="18"/>
                <w:color w:val="auto"/>
              </w:rPr>
            </w:pPr>
          </w:p>
        </w:tc>
        <w:tc>
          <w:tcPr>
            <w:tcW w:w="500" w:type="dxa"/>
            <w:vAlign w:val="bottom"/>
            <w:tcBorders>
              <w:top w:val="single" w:sz="8" w:color="0000FF"/>
              <w:bottom w:val="single" w:sz="8" w:color="BFBFBF"/>
            </w:tcBorders>
          </w:tcPr>
          <w:p>
            <w:pPr>
              <w:spacing w:after="0"/>
              <w:rPr>
                <w:sz w:val="18"/>
                <w:szCs w:val="18"/>
                <w:color w:val="auto"/>
              </w:rPr>
            </w:pPr>
          </w:p>
        </w:tc>
        <w:tc>
          <w:tcPr>
            <w:tcW w:w="340" w:type="dxa"/>
            <w:vAlign w:val="bottom"/>
            <w:tcBorders>
              <w:top w:val="single" w:sz="8" w:color="0000FF"/>
              <w:bottom w:val="single" w:sz="8" w:color="BFBFBF"/>
            </w:tcBorders>
          </w:tcPr>
          <w:p>
            <w:pPr>
              <w:spacing w:after="0"/>
              <w:rPr>
                <w:sz w:val="18"/>
                <w:szCs w:val="18"/>
                <w:color w:val="auto"/>
              </w:rPr>
            </w:pPr>
          </w:p>
        </w:tc>
        <w:tc>
          <w:tcPr>
            <w:tcW w:w="80" w:type="dxa"/>
            <w:vAlign w:val="bottom"/>
            <w:tcBorders>
              <w:top w:val="single" w:sz="8" w:color="0000FF"/>
              <w:bottom w:val="single" w:sz="8" w:color="BFBFBF"/>
            </w:tcBorders>
          </w:tcPr>
          <w:p>
            <w:pPr>
              <w:spacing w:after="0"/>
              <w:rPr>
                <w:sz w:val="18"/>
                <w:szCs w:val="18"/>
                <w:color w:val="auto"/>
              </w:rPr>
            </w:pPr>
          </w:p>
        </w:tc>
        <w:tc>
          <w:tcPr>
            <w:tcW w:w="420" w:type="dxa"/>
            <w:vAlign w:val="bottom"/>
            <w:tcBorders>
              <w:top w:val="single" w:sz="8" w:color="0000FF"/>
              <w:bottom w:val="single" w:sz="8" w:color="BFBFBF"/>
            </w:tcBorders>
          </w:tcPr>
          <w:p>
            <w:pPr>
              <w:spacing w:after="0"/>
              <w:rPr>
                <w:sz w:val="18"/>
                <w:szCs w:val="18"/>
                <w:color w:val="auto"/>
              </w:rPr>
            </w:pPr>
          </w:p>
        </w:tc>
        <w:tc>
          <w:tcPr>
            <w:tcW w:w="20" w:type="dxa"/>
            <w:vAlign w:val="bottom"/>
            <w:tcBorders>
              <w:top w:val="single" w:sz="8" w:color="0000FF"/>
              <w:bottom w:val="single" w:sz="8" w:color="BFBFBF"/>
            </w:tcBorders>
          </w:tcPr>
          <w:p>
            <w:pPr>
              <w:spacing w:after="0"/>
              <w:rPr>
                <w:sz w:val="18"/>
                <w:szCs w:val="18"/>
                <w:color w:val="auto"/>
              </w:rPr>
            </w:pPr>
          </w:p>
        </w:tc>
        <w:tc>
          <w:tcPr>
            <w:tcW w:w="340" w:type="dxa"/>
            <w:vAlign w:val="bottom"/>
            <w:tcBorders>
              <w:top w:val="single" w:sz="8" w:color="0000FF"/>
              <w:bottom w:val="single" w:sz="8" w:color="BFBFBF"/>
            </w:tcBorders>
          </w:tcPr>
          <w:p>
            <w:pPr>
              <w:spacing w:after="0"/>
              <w:rPr>
                <w:sz w:val="18"/>
                <w:szCs w:val="18"/>
                <w:color w:val="auto"/>
              </w:rPr>
            </w:pPr>
          </w:p>
        </w:tc>
        <w:tc>
          <w:tcPr>
            <w:tcW w:w="1920" w:type="dxa"/>
            <w:vAlign w:val="bottom"/>
            <w:tcBorders>
              <w:top w:val="single" w:sz="8" w:color="0000FF"/>
              <w:bottom w:val="single" w:sz="8" w:color="BFBFBF"/>
            </w:tcBorders>
          </w:tcPr>
          <w:p>
            <w:pPr>
              <w:spacing w:after="0"/>
              <w:rPr>
                <w:sz w:val="18"/>
                <w:szCs w:val="18"/>
                <w:color w:val="auto"/>
              </w:rPr>
            </w:pPr>
          </w:p>
        </w:tc>
        <w:tc>
          <w:tcPr>
            <w:tcW w:w="48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5" w:lineRule="exact"/>
              <w:rPr>
                <w:sz w:val="20"/>
                <w:szCs w:val="20"/>
                <w:color w:val="auto"/>
              </w:rPr>
            </w:pPr>
            <w:r>
              <w:rPr>
                <w:rFonts w:ascii="Arial" w:cs="Arial" w:eastAsia="Arial" w:hAnsi="Arial"/>
                <w:sz w:val="17"/>
                <w:szCs w:val="17"/>
                <w:color w:val="auto"/>
              </w:rPr>
              <w:t>10.3</w:t>
            </w:r>
            <w:r>
              <w:rPr>
                <w:rFonts w:ascii="Arial" w:cs="Arial" w:eastAsia="Arial" w:hAnsi="Arial"/>
                <w:sz w:val="22"/>
                <w:szCs w:val="22"/>
                <w:color w:val="auto"/>
                <w:vertAlign w:val="superscript"/>
              </w:rPr>
              <w:t>#</w:t>
            </w:r>
          </w:p>
        </w:tc>
        <w:tc>
          <w:tcPr>
            <w:tcW w:w="9200" w:type="dxa"/>
            <w:vAlign w:val="bottom"/>
            <w:tcBorders>
              <w:bottom w:val="single" w:sz="8" w:color="0000FF"/>
            </w:tcBorders>
            <w:gridSpan w:val="14"/>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Employee Matters Agreement, dated June 29, 2026, by and between Honeywell International Inc. and Honeywell</w:t>
              </w:r>
            </w:hyperlink>
          </w:p>
        </w:tc>
      </w:tr>
      <w:tr>
        <w:trPr>
          <w:trHeight w:val="196"/>
        </w:trPr>
        <w:tc>
          <w:tcPr>
            <w:tcW w:w="2040" w:type="dxa"/>
            <w:vAlign w:val="bottom"/>
          </w:tcPr>
          <w:p>
            <w:pPr>
              <w:spacing w:after="0"/>
              <w:rPr>
                <w:sz w:val="17"/>
                <w:szCs w:val="17"/>
                <w:color w:val="auto"/>
              </w:rPr>
            </w:pPr>
          </w:p>
        </w:tc>
        <w:tc>
          <w:tcPr>
            <w:tcW w:w="9200" w:type="dxa"/>
            <w:vAlign w:val="bottom"/>
            <w:gridSpan w:val="14"/>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Aerospace Inc. (incorporated by reference to Exhibit 10.3 of the Company’s Form 8-K filed on June 29, 2026)</w:t>
              </w:r>
            </w:hyperlink>
          </w:p>
        </w:tc>
      </w:tr>
      <w:tr>
        <w:trPr>
          <w:trHeight w:val="209"/>
        </w:trPr>
        <w:tc>
          <w:tcPr>
            <w:tcW w:w="2040" w:type="dxa"/>
            <w:vAlign w:val="bottom"/>
            <w:tcBorders>
              <w:bottom w:val="single" w:sz="8" w:color="BFBFBF"/>
            </w:tcBorders>
          </w:tcPr>
          <w:p>
            <w:pPr>
              <w:spacing w:after="0"/>
              <w:rPr>
                <w:sz w:val="18"/>
                <w:szCs w:val="18"/>
                <w:color w:val="auto"/>
              </w:rPr>
            </w:pPr>
          </w:p>
        </w:tc>
        <w:tc>
          <w:tcPr>
            <w:tcW w:w="760" w:type="dxa"/>
            <w:vAlign w:val="bottom"/>
            <w:tcBorders>
              <w:top w:val="single" w:sz="8" w:color="0000FF"/>
              <w:bottom w:val="single" w:sz="8" w:color="BFBFBF"/>
            </w:tcBorders>
          </w:tcPr>
          <w:p>
            <w:pPr>
              <w:spacing w:after="0"/>
              <w:rPr>
                <w:sz w:val="18"/>
                <w:szCs w:val="18"/>
                <w:color w:val="auto"/>
              </w:rPr>
            </w:pPr>
          </w:p>
        </w:tc>
        <w:tc>
          <w:tcPr>
            <w:tcW w:w="1060" w:type="dxa"/>
            <w:vAlign w:val="bottom"/>
            <w:tcBorders>
              <w:top w:val="single" w:sz="8" w:color="0000FF"/>
              <w:bottom w:val="single" w:sz="8" w:color="BFBFBF"/>
            </w:tcBorders>
          </w:tcPr>
          <w:p>
            <w:pPr>
              <w:spacing w:after="0"/>
              <w:rPr>
                <w:sz w:val="18"/>
                <w:szCs w:val="18"/>
                <w:color w:val="auto"/>
              </w:rPr>
            </w:pPr>
          </w:p>
        </w:tc>
        <w:tc>
          <w:tcPr>
            <w:tcW w:w="800" w:type="dxa"/>
            <w:vAlign w:val="bottom"/>
            <w:tcBorders>
              <w:top w:val="single" w:sz="8" w:color="0000FF"/>
              <w:bottom w:val="single" w:sz="8" w:color="BFBFBF"/>
            </w:tcBorders>
          </w:tcPr>
          <w:p>
            <w:pPr>
              <w:spacing w:after="0"/>
              <w:rPr>
                <w:sz w:val="18"/>
                <w:szCs w:val="18"/>
                <w:color w:val="auto"/>
              </w:rPr>
            </w:pPr>
          </w:p>
        </w:tc>
        <w:tc>
          <w:tcPr>
            <w:tcW w:w="2440" w:type="dxa"/>
            <w:vAlign w:val="bottom"/>
            <w:tcBorders>
              <w:top w:val="single" w:sz="8" w:color="0000FF"/>
              <w:bottom w:val="single" w:sz="8" w:color="BFBFBF"/>
            </w:tcBorders>
          </w:tcPr>
          <w:p>
            <w:pPr>
              <w:spacing w:after="0"/>
              <w:rPr>
                <w:sz w:val="18"/>
                <w:szCs w:val="18"/>
                <w:color w:val="auto"/>
              </w:rPr>
            </w:pPr>
          </w:p>
        </w:tc>
        <w:tc>
          <w:tcPr>
            <w:tcW w:w="500" w:type="dxa"/>
            <w:vAlign w:val="bottom"/>
            <w:tcBorders>
              <w:top w:val="single" w:sz="8" w:color="0000FF"/>
              <w:bottom w:val="single" w:sz="8" w:color="BFBFBF"/>
            </w:tcBorders>
          </w:tcPr>
          <w:p>
            <w:pPr>
              <w:spacing w:after="0"/>
              <w:rPr>
                <w:sz w:val="18"/>
                <w:szCs w:val="18"/>
                <w:color w:val="auto"/>
              </w:rPr>
            </w:pPr>
          </w:p>
        </w:tc>
        <w:tc>
          <w:tcPr>
            <w:tcW w:w="340" w:type="dxa"/>
            <w:vAlign w:val="bottom"/>
            <w:tcBorders>
              <w:top w:val="single" w:sz="8" w:color="0000FF"/>
              <w:bottom w:val="single" w:sz="8" w:color="BFBFBF"/>
            </w:tcBorders>
          </w:tcPr>
          <w:p>
            <w:pPr>
              <w:spacing w:after="0"/>
              <w:rPr>
                <w:sz w:val="18"/>
                <w:szCs w:val="18"/>
                <w:color w:val="auto"/>
              </w:rPr>
            </w:pPr>
          </w:p>
        </w:tc>
        <w:tc>
          <w:tcPr>
            <w:tcW w:w="80" w:type="dxa"/>
            <w:vAlign w:val="bottom"/>
            <w:tcBorders>
              <w:top w:val="single" w:sz="8" w:color="0000FF"/>
              <w:bottom w:val="single" w:sz="8" w:color="BFBFBF"/>
            </w:tcBorders>
          </w:tcPr>
          <w:p>
            <w:pPr>
              <w:spacing w:after="0"/>
              <w:rPr>
                <w:sz w:val="18"/>
                <w:szCs w:val="18"/>
                <w:color w:val="auto"/>
              </w:rPr>
            </w:pPr>
          </w:p>
        </w:tc>
        <w:tc>
          <w:tcPr>
            <w:tcW w:w="420" w:type="dxa"/>
            <w:vAlign w:val="bottom"/>
            <w:tcBorders>
              <w:top w:val="single" w:sz="8" w:color="0000FF"/>
              <w:bottom w:val="single" w:sz="8" w:color="BFBFBF"/>
            </w:tcBorders>
          </w:tcPr>
          <w:p>
            <w:pPr>
              <w:spacing w:after="0"/>
              <w:rPr>
                <w:sz w:val="18"/>
                <w:szCs w:val="18"/>
                <w:color w:val="auto"/>
              </w:rPr>
            </w:pPr>
          </w:p>
        </w:tc>
        <w:tc>
          <w:tcPr>
            <w:tcW w:w="20" w:type="dxa"/>
            <w:vAlign w:val="bottom"/>
            <w:tcBorders>
              <w:top w:val="single" w:sz="8" w:color="0000FF"/>
              <w:bottom w:val="single" w:sz="8" w:color="BFBFBF"/>
            </w:tcBorders>
          </w:tcPr>
          <w:p>
            <w:pPr>
              <w:spacing w:after="0"/>
              <w:rPr>
                <w:sz w:val="18"/>
                <w:szCs w:val="18"/>
                <w:color w:val="auto"/>
              </w:rPr>
            </w:pPr>
          </w:p>
        </w:tc>
        <w:tc>
          <w:tcPr>
            <w:tcW w:w="340" w:type="dxa"/>
            <w:vAlign w:val="bottom"/>
            <w:tcBorders>
              <w:top w:val="single" w:sz="8" w:color="0000FF"/>
              <w:bottom w:val="single" w:sz="8" w:color="BFBFBF"/>
            </w:tcBorders>
          </w:tcPr>
          <w:p>
            <w:pPr>
              <w:spacing w:after="0"/>
              <w:rPr>
                <w:sz w:val="18"/>
                <w:szCs w:val="18"/>
                <w:color w:val="auto"/>
              </w:rPr>
            </w:pPr>
          </w:p>
        </w:tc>
        <w:tc>
          <w:tcPr>
            <w:tcW w:w="1920" w:type="dxa"/>
            <w:vAlign w:val="bottom"/>
            <w:tcBorders>
              <w:top w:val="single" w:sz="8" w:color="0000FF"/>
              <w:bottom w:val="single" w:sz="8" w:color="BFBFBF"/>
            </w:tcBorders>
          </w:tcPr>
          <w:p>
            <w:pPr>
              <w:spacing w:after="0"/>
              <w:rPr>
                <w:sz w:val="18"/>
                <w:szCs w:val="18"/>
                <w:color w:val="auto"/>
              </w:rPr>
            </w:pPr>
          </w:p>
        </w:tc>
        <w:tc>
          <w:tcPr>
            <w:tcW w:w="48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5" w:lineRule="exact"/>
              <w:rPr>
                <w:sz w:val="20"/>
                <w:szCs w:val="20"/>
                <w:color w:val="auto"/>
              </w:rPr>
            </w:pPr>
            <w:r>
              <w:rPr>
                <w:rFonts w:ascii="Arial" w:cs="Arial" w:eastAsia="Arial" w:hAnsi="Arial"/>
                <w:sz w:val="17"/>
                <w:szCs w:val="17"/>
                <w:color w:val="auto"/>
              </w:rPr>
              <w:t>10.4</w:t>
            </w:r>
            <w:r>
              <w:rPr>
                <w:rFonts w:ascii="Arial" w:cs="Arial" w:eastAsia="Arial" w:hAnsi="Arial"/>
                <w:sz w:val="22"/>
                <w:szCs w:val="22"/>
                <w:color w:val="auto"/>
                <w:vertAlign w:val="superscript"/>
              </w:rPr>
              <w:t>#</w:t>
            </w:r>
          </w:p>
        </w:tc>
        <w:tc>
          <w:tcPr>
            <w:tcW w:w="9200" w:type="dxa"/>
            <w:vAlign w:val="bottom"/>
            <w:tcBorders>
              <w:bottom w:val="single" w:sz="8" w:color="0000FF"/>
            </w:tcBorders>
            <w:gridSpan w:val="14"/>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Intellectual Property License Agreement, dated June 29, 2026, by and between Honeywell International Inc. and</w:t>
              </w:r>
            </w:hyperlink>
          </w:p>
        </w:tc>
      </w:tr>
      <w:tr>
        <w:trPr>
          <w:trHeight w:val="196"/>
        </w:trPr>
        <w:tc>
          <w:tcPr>
            <w:tcW w:w="2040" w:type="dxa"/>
            <w:vAlign w:val="bottom"/>
          </w:tcPr>
          <w:p>
            <w:pPr>
              <w:spacing w:after="0"/>
              <w:rPr>
                <w:sz w:val="17"/>
                <w:szCs w:val="17"/>
                <w:color w:val="auto"/>
              </w:rPr>
            </w:pPr>
          </w:p>
        </w:tc>
        <w:tc>
          <w:tcPr>
            <w:tcW w:w="9200" w:type="dxa"/>
            <w:vAlign w:val="bottom"/>
            <w:tcBorders>
              <w:bottom w:val="single" w:sz="8" w:color="0000FF"/>
            </w:tcBorders>
            <w:gridSpan w:val="14"/>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Honeywell Aerospace Inc. (incorporated by reference to Exhibit 10.4 of the Company’s Current Report on Form 8-K</w:t>
              </w:r>
            </w:hyperlink>
          </w:p>
        </w:tc>
      </w:tr>
      <w:tr>
        <w:trPr>
          <w:trHeight w:val="196"/>
        </w:trPr>
        <w:tc>
          <w:tcPr>
            <w:tcW w:w="2040" w:type="dxa"/>
            <w:vAlign w:val="bottom"/>
          </w:tcPr>
          <w:p>
            <w:pPr>
              <w:spacing w:after="0"/>
              <w:rPr>
                <w:sz w:val="17"/>
                <w:szCs w:val="17"/>
                <w:color w:val="auto"/>
              </w:rPr>
            </w:pPr>
          </w:p>
        </w:tc>
        <w:tc>
          <w:tcPr>
            <w:tcW w:w="9200" w:type="dxa"/>
            <w:vAlign w:val="bottom"/>
            <w:gridSpan w:val="14"/>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filed on June 29, 2026)</w:t>
              </w:r>
            </w:hyperlink>
          </w:p>
        </w:tc>
      </w:tr>
      <w:tr>
        <w:trPr>
          <w:trHeight w:val="210"/>
        </w:trPr>
        <w:tc>
          <w:tcPr>
            <w:tcW w:w="2040" w:type="dxa"/>
            <w:vAlign w:val="bottom"/>
            <w:tcBorders>
              <w:bottom w:val="single" w:sz="8" w:color="BFBFBF"/>
            </w:tcBorders>
          </w:tcPr>
          <w:p>
            <w:pPr>
              <w:spacing w:after="0"/>
              <w:rPr>
                <w:sz w:val="18"/>
                <w:szCs w:val="18"/>
                <w:color w:val="auto"/>
              </w:rPr>
            </w:pPr>
          </w:p>
        </w:tc>
        <w:tc>
          <w:tcPr>
            <w:tcW w:w="760" w:type="dxa"/>
            <w:vAlign w:val="bottom"/>
            <w:tcBorders>
              <w:top w:val="single" w:sz="8" w:color="0000FF"/>
              <w:bottom w:val="single" w:sz="8" w:color="BFBFBF"/>
            </w:tcBorders>
          </w:tcPr>
          <w:p>
            <w:pPr>
              <w:spacing w:after="0"/>
              <w:rPr>
                <w:sz w:val="18"/>
                <w:szCs w:val="18"/>
                <w:color w:val="auto"/>
              </w:rPr>
            </w:pPr>
          </w:p>
        </w:tc>
        <w:tc>
          <w:tcPr>
            <w:tcW w:w="1060" w:type="dxa"/>
            <w:vAlign w:val="bottom"/>
            <w:tcBorders>
              <w:top w:val="single" w:sz="8" w:color="0000FF"/>
              <w:bottom w:val="single" w:sz="8" w:color="BFBFBF"/>
            </w:tcBorders>
          </w:tcPr>
          <w:p>
            <w:pPr>
              <w:spacing w:after="0"/>
              <w:rPr>
                <w:sz w:val="18"/>
                <w:szCs w:val="18"/>
                <w:color w:val="auto"/>
              </w:rPr>
            </w:pPr>
          </w:p>
        </w:tc>
        <w:tc>
          <w:tcPr>
            <w:tcW w:w="800" w:type="dxa"/>
            <w:vAlign w:val="bottom"/>
            <w:tcBorders>
              <w:bottom w:val="single" w:sz="8" w:color="BFBFBF"/>
            </w:tcBorders>
          </w:tcPr>
          <w:p>
            <w:pPr>
              <w:spacing w:after="0"/>
              <w:rPr>
                <w:sz w:val="18"/>
                <w:szCs w:val="18"/>
                <w:color w:val="auto"/>
              </w:rPr>
            </w:pPr>
          </w:p>
        </w:tc>
        <w:tc>
          <w:tcPr>
            <w:tcW w:w="2440" w:type="dxa"/>
            <w:vAlign w:val="bottom"/>
            <w:tcBorders>
              <w:bottom w:val="single" w:sz="8" w:color="BFBFBF"/>
            </w:tcBorders>
          </w:tcPr>
          <w:p>
            <w:pPr>
              <w:spacing w:after="0"/>
              <w:rPr>
                <w:sz w:val="18"/>
                <w:szCs w:val="18"/>
                <w:color w:val="auto"/>
              </w:rPr>
            </w:pPr>
          </w:p>
        </w:tc>
        <w:tc>
          <w:tcPr>
            <w:tcW w:w="500" w:type="dxa"/>
            <w:vAlign w:val="bottom"/>
            <w:tcBorders>
              <w:bottom w:val="single" w:sz="8" w:color="BFBFBF"/>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80" w:type="dxa"/>
            <w:vAlign w:val="bottom"/>
            <w:tcBorders>
              <w:bottom w:val="single" w:sz="8" w:color="BFBFBF"/>
            </w:tcBorders>
          </w:tcPr>
          <w:p>
            <w:pPr>
              <w:spacing w:after="0"/>
              <w:rPr>
                <w:sz w:val="18"/>
                <w:szCs w:val="18"/>
                <w:color w:val="auto"/>
              </w:rPr>
            </w:pPr>
          </w:p>
        </w:tc>
        <w:tc>
          <w:tcPr>
            <w:tcW w:w="4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1920" w:type="dxa"/>
            <w:vAlign w:val="bottom"/>
            <w:tcBorders>
              <w:bottom w:val="single" w:sz="8" w:color="BFBFBF"/>
            </w:tcBorders>
          </w:tcPr>
          <w:p>
            <w:pPr>
              <w:spacing w:after="0"/>
              <w:rPr>
                <w:sz w:val="18"/>
                <w:szCs w:val="18"/>
                <w:color w:val="auto"/>
              </w:rPr>
            </w:pPr>
          </w:p>
        </w:tc>
        <w:tc>
          <w:tcPr>
            <w:tcW w:w="48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10.5*</w:t>
            </w:r>
          </w:p>
        </w:tc>
        <w:tc>
          <w:tcPr>
            <w:tcW w:w="9180" w:type="dxa"/>
            <w:vAlign w:val="bottom"/>
            <w:tcBorders>
              <w:bottom w:val="single" w:sz="8" w:color="0000FF"/>
            </w:tcBorders>
            <w:gridSpan w:val="13"/>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2026 Stock Incentive Plan of Honeywell Aerospace Inc. and its Affiliates (incorporated by reference to Exhibit 10.6</w:t>
              </w:r>
            </w:hyperlink>
          </w:p>
        </w:tc>
        <w:tc>
          <w:tcPr>
            <w:tcW w:w="20" w:type="dxa"/>
            <w:vAlign w:val="bottom"/>
          </w:tcPr>
          <w:p>
            <w:pPr>
              <w:spacing w:after="0"/>
              <w:rPr>
                <w:sz w:val="17"/>
                <w:szCs w:val="17"/>
                <w:color w:val="auto"/>
              </w:rPr>
            </w:pPr>
          </w:p>
        </w:tc>
      </w:tr>
      <w:tr>
        <w:trPr>
          <w:trHeight w:val="196"/>
        </w:trPr>
        <w:tc>
          <w:tcPr>
            <w:tcW w:w="2040" w:type="dxa"/>
            <w:vAlign w:val="bottom"/>
          </w:tcPr>
          <w:p>
            <w:pPr>
              <w:spacing w:after="0"/>
              <w:rPr>
                <w:sz w:val="17"/>
                <w:szCs w:val="17"/>
                <w:color w:val="auto"/>
              </w:rPr>
            </w:pPr>
          </w:p>
        </w:tc>
        <w:tc>
          <w:tcPr>
            <w:tcW w:w="9200" w:type="dxa"/>
            <w:vAlign w:val="bottom"/>
            <w:gridSpan w:val="14"/>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of the Company’s Current Report on Form 8-K filed on June 29, 2026)</w:t>
              </w:r>
            </w:hyperlink>
          </w:p>
        </w:tc>
      </w:tr>
      <w:tr>
        <w:trPr>
          <w:trHeight w:val="210"/>
        </w:trPr>
        <w:tc>
          <w:tcPr>
            <w:tcW w:w="2040" w:type="dxa"/>
            <w:vAlign w:val="bottom"/>
            <w:tcBorders>
              <w:bottom w:val="single" w:sz="8" w:color="BFBFBF"/>
            </w:tcBorders>
          </w:tcPr>
          <w:p>
            <w:pPr>
              <w:spacing w:after="0"/>
              <w:rPr>
                <w:sz w:val="18"/>
                <w:szCs w:val="18"/>
                <w:color w:val="auto"/>
              </w:rPr>
            </w:pPr>
          </w:p>
        </w:tc>
        <w:tc>
          <w:tcPr>
            <w:tcW w:w="760" w:type="dxa"/>
            <w:vAlign w:val="bottom"/>
            <w:tcBorders>
              <w:top w:val="single" w:sz="8" w:color="0000FF"/>
              <w:bottom w:val="single" w:sz="8" w:color="BFBFBF"/>
            </w:tcBorders>
          </w:tcPr>
          <w:p>
            <w:pPr>
              <w:spacing w:after="0"/>
              <w:rPr>
                <w:sz w:val="18"/>
                <w:szCs w:val="18"/>
                <w:color w:val="auto"/>
              </w:rPr>
            </w:pPr>
          </w:p>
        </w:tc>
        <w:tc>
          <w:tcPr>
            <w:tcW w:w="1060" w:type="dxa"/>
            <w:vAlign w:val="bottom"/>
            <w:tcBorders>
              <w:top w:val="single" w:sz="8" w:color="0000FF"/>
              <w:bottom w:val="single" w:sz="8" w:color="BFBFBF"/>
            </w:tcBorders>
          </w:tcPr>
          <w:p>
            <w:pPr>
              <w:spacing w:after="0"/>
              <w:rPr>
                <w:sz w:val="18"/>
                <w:szCs w:val="18"/>
                <w:color w:val="auto"/>
              </w:rPr>
            </w:pPr>
          </w:p>
        </w:tc>
        <w:tc>
          <w:tcPr>
            <w:tcW w:w="800" w:type="dxa"/>
            <w:vAlign w:val="bottom"/>
            <w:tcBorders>
              <w:top w:val="single" w:sz="8" w:color="0000FF"/>
              <w:bottom w:val="single" w:sz="8" w:color="BFBFBF"/>
            </w:tcBorders>
          </w:tcPr>
          <w:p>
            <w:pPr>
              <w:spacing w:after="0"/>
              <w:rPr>
                <w:sz w:val="18"/>
                <w:szCs w:val="18"/>
                <w:color w:val="auto"/>
              </w:rPr>
            </w:pPr>
          </w:p>
        </w:tc>
        <w:tc>
          <w:tcPr>
            <w:tcW w:w="2440" w:type="dxa"/>
            <w:vAlign w:val="bottom"/>
            <w:tcBorders>
              <w:top w:val="single" w:sz="8" w:color="0000FF"/>
              <w:bottom w:val="single" w:sz="8" w:color="BFBFBF"/>
            </w:tcBorders>
          </w:tcPr>
          <w:p>
            <w:pPr>
              <w:spacing w:after="0"/>
              <w:rPr>
                <w:sz w:val="18"/>
                <w:szCs w:val="18"/>
                <w:color w:val="auto"/>
              </w:rPr>
            </w:pPr>
          </w:p>
        </w:tc>
        <w:tc>
          <w:tcPr>
            <w:tcW w:w="500" w:type="dxa"/>
            <w:vAlign w:val="bottom"/>
            <w:tcBorders>
              <w:top w:val="single" w:sz="8" w:color="0000FF"/>
              <w:bottom w:val="single" w:sz="8" w:color="BFBFBF"/>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80" w:type="dxa"/>
            <w:vAlign w:val="bottom"/>
            <w:tcBorders>
              <w:bottom w:val="single" w:sz="8" w:color="BFBFBF"/>
            </w:tcBorders>
          </w:tcPr>
          <w:p>
            <w:pPr>
              <w:spacing w:after="0"/>
              <w:rPr>
                <w:sz w:val="18"/>
                <w:szCs w:val="18"/>
                <w:color w:val="auto"/>
              </w:rPr>
            </w:pPr>
          </w:p>
        </w:tc>
        <w:tc>
          <w:tcPr>
            <w:tcW w:w="4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1920" w:type="dxa"/>
            <w:vAlign w:val="bottom"/>
            <w:tcBorders>
              <w:bottom w:val="single" w:sz="8" w:color="BFBFBF"/>
            </w:tcBorders>
          </w:tcPr>
          <w:p>
            <w:pPr>
              <w:spacing w:after="0"/>
              <w:rPr>
                <w:sz w:val="18"/>
                <w:szCs w:val="18"/>
                <w:color w:val="auto"/>
              </w:rPr>
            </w:pPr>
          </w:p>
        </w:tc>
        <w:tc>
          <w:tcPr>
            <w:tcW w:w="48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10.6*</w:t>
            </w:r>
          </w:p>
        </w:tc>
        <w:tc>
          <w:tcPr>
            <w:tcW w:w="9180" w:type="dxa"/>
            <w:vAlign w:val="bottom"/>
            <w:tcBorders>
              <w:bottom w:val="single" w:sz="8" w:color="0000FF"/>
            </w:tcBorders>
            <w:gridSpan w:val="13"/>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Honeywell Aerospace Inc. Severance Plan for Designated Officers (incorporated by reference to Exhibit 10.7 of the</w:t>
              </w:r>
            </w:hyperlink>
          </w:p>
        </w:tc>
        <w:tc>
          <w:tcPr>
            <w:tcW w:w="20" w:type="dxa"/>
            <w:vAlign w:val="bottom"/>
          </w:tcPr>
          <w:p>
            <w:pPr>
              <w:spacing w:after="0"/>
              <w:rPr>
                <w:sz w:val="17"/>
                <w:szCs w:val="17"/>
                <w:color w:val="auto"/>
              </w:rPr>
            </w:pPr>
          </w:p>
        </w:tc>
      </w:tr>
      <w:tr>
        <w:trPr>
          <w:trHeight w:val="196"/>
        </w:trPr>
        <w:tc>
          <w:tcPr>
            <w:tcW w:w="2040" w:type="dxa"/>
            <w:vAlign w:val="bottom"/>
          </w:tcPr>
          <w:p>
            <w:pPr>
              <w:spacing w:after="0"/>
              <w:rPr>
                <w:sz w:val="17"/>
                <w:szCs w:val="17"/>
                <w:color w:val="auto"/>
              </w:rPr>
            </w:pPr>
          </w:p>
        </w:tc>
        <w:tc>
          <w:tcPr>
            <w:tcW w:w="9200" w:type="dxa"/>
            <w:vAlign w:val="bottom"/>
            <w:gridSpan w:val="14"/>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Company’s Current Report on Form 8-K filed on June 29, 2026)</w:t>
              </w:r>
            </w:hyperlink>
          </w:p>
        </w:tc>
      </w:tr>
      <w:tr>
        <w:trPr>
          <w:trHeight w:val="210"/>
        </w:trPr>
        <w:tc>
          <w:tcPr>
            <w:tcW w:w="2040" w:type="dxa"/>
            <w:vAlign w:val="bottom"/>
            <w:tcBorders>
              <w:bottom w:val="single" w:sz="8" w:color="BFBFBF"/>
            </w:tcBorders>
          </w:tcPr>
          <w:p>
            <w:pPr>
              <w:spacing w:after="0"/>
              <w:rPr>
                <w:sz w:val="18"/>
                <w:szCs w:val="18"/>
                <w:color w:val="auto"/>
              </w:rPr>
            </w:pPr>
          </w:p>
        </w:tc>
        <w:tc>
          <w:tcPr>
            <w:tcW w:w="760" w:type="dxa"/>
            <w:vAlign w:val="bottom"/>
            <w:tcBorders>
              <w:top w:val="single" w:sz="8" w:color="0000FF"/>
              <w:bottom w:val="single" w:sz="8" w:color="BFBFBF"/>
            </w:tcBorders>
          </w:tcPr>
          <w:p>
            <w:pPr>
              <w:spacing w:after="0"/>
              <w:rPr>
                <w:sz w:val="18"/>
                <w:szCs w:val="18"/>
                <w:color w:val="auto"/>
              </w:rPr>
            </w:pPr>
          </w:p>
        </w:tc>
        <w:tc>
          <w:tcPr>
            <w:tcW w:w="1060" w:type="dxa"/>
            <w:vAlign w:val="bottom"/>
            <w:tcBorders>
              <w:top w:val="single" w:sz="8" w:color="0000FF"/>
              <w:bottom w:val="single" w:sz="8" w:color="BFBFBF"/>
            </w:tcBorders>
          </w:tcPr>
          <w:p>
            <w:pPr>
              <w:spacing w:after="0"/>
              <w:rPr>
                <w:sz w:val="18"/>
                <w:szCs w:val="18"/>
                <w:color w:val="auto"/>
              </w:rPr>
            </w:pPr>
          </w:p>
        </w:tc>
        <w:tc>
          <w:tcPr>
            <w:tcW w:w="800" w:type="dxa"/>
            <w:vAlign w:val="bottom"/>
            <w:tcBorders>
              <w:top w:val="single" w:sz="8" w:color="0000FF"/>
              <w:bottom w:val="single" w:sz="8" w:color="BFBFBF"/>
            </w:tcBorders>
          </w:tcPr>
          <w:p>
            <w:pPr>
              <w:spacing w:after="0"/>
              <w:rPr>
                <w:sz w:val="18"/>
                <w:szCs w:val="18"/>
                <w:color w:val="auto"/>
              </w:rPr>
            </w:pPr>
          </w:p>
        </w:tc>
        <w:tc>
          <w:tcPr>
            <w:tcW w:w="2440" w:type="dxa"/>
            <w:vAlign w:val="bottom"/>
            <w:tcBorders>
              <w:top w:val="single" w:sz="8" w:color="0000FF"/>
              <w:bottom w:val="single" w:sz="8" w:color="BFBFBF"/>
            </w:tcBorders>
          </w:tcPr>
          <w:p>
            <w:pPr>
              <w:spacing w:after="0"/>
              <w:rPr>
                <w:sz w:val="18"/>
                <w:szCs w:val="18"/>
                <w:color w:val="auto"/>
              </w:rPr>
            </w:pPr>
          </w:p>
        </w:tc>
        <w:tc>
          <w:tcPr>
            <w:tcW w:w="500" w:type="dxa"/>
            <w:vAlign w:val="bottom"/>
            <w:tcBorders>
              <w:bottom w:val="single" w:sz="8" w:color="BFBFBF"/>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80" w:type="dxa"/>
            <w:vAlign w:val="bottom"/>
            <w:tcBorders>
              <w:bottom w:val="single" w:sz="8" w:color="BFBFBF"/>
            </w:tcBorders>
          </w:tcPr>
          <w:p>
            <w:pPr>
              <w:spacing w:after="0"/>
              <w:rPr>
                <w:sz w:val="18"/>
                <w:szCs w:val="18"/>
                <w:color w:val="auto"/>
              </w:rPr>
            </w:pPr>
          </w:p>
        </w:tc>
        <w:tc>
          <w:tcPr>
            <w:tcW w:w="4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1920" w:type="dxa"/>
            <w:vAlign w:val="bottom"/>
            <w:tcBorders>
              <w:bottom w:val="single" w:sz="8" w:color="BFBFBF"/>
            </w:tcBorders>
          </w:tcPr>
          <w:p>
            <w:pPr>
              <w:spacing w:after="0"/>
              <w:rPr>
                <w:sz w:val="18"/>
                <w:szCs w:val="18"/>
                <w:color w:val="auto"/>
              </w:rPr>
            </w:pPr>
          </w:p>
        </w:tc>
        <w:tc>
          <w:tcPr>
            <w:tcW w:w="48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10.7*</w:t>
            </w:r>
          </w:p>
        </w:tc>
        <w:tc>
          <w:tcPr>
            <w:tcW w:w="9180" w:type="dxa"/>
            <w:vAlign w:val="bottom"/>
            <w:tcBorders>
              <w:bottom w:val="single" w:sz="8" w:color="0000FF"/>
            </w:tcBorders>
            <w:gridSpan w:val="13"/>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Deferred Compensation Plan for Non-Employee Directors of Honeywell Aerospace Inc. (incorporated by reference</w:t>
              </w:r>
            </w:hyperlink>
          </w:p>
        </w:tc>
        <w:tc>
          <w:tcPr>
            <w:tcW w:w="20" w:type="dxa"/>
            <w:vAlign w:val="bottom"/>
          </w:tcPr>
          <w:p>
            <w:pPr>
              <w:spacing w:after="0"/>
              <w:rPr>
                <w:sz w:val="17"/>
                <w:szCs w:val="17"/>
                <w:color w:val="auto"/>
              </w:rPr>
            </w:pPr>
          </w:p>
        </w:tc>
      </w:tr>
      <w:tr>
        <w:trPr>
          <w:trHeight w:val="196"/>
        </w:trPr>
        <w:tc>
          <w:tcPr>
            <w:tcW w:w="2040" w:type="dxa"/>
            <w:vAlign w:val="bottom"/>
          </w:tcPr>
          <w:p>
            <w:pPr>
              <w:spacing w:after="0"/>
              <w:rPr>
                <w:sz w:val="17"/>
                <w:szCs w:val="17"/>
                <w:color w:val="auto"/>
              </w:rPr>
            </w:pPr>
          </w:p>
        </w:tc>
        <w:tc>
          <w:tcPr>
            <w:tcW w:w="9200" w:type="dxa"/>
            <w:vAlign w:val="bottom"/>
            <w:gridSpan w:val="14"/>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to Exhibit 10.8 of the Company’s Current Report on Form 8-K filed on June 29, 2026)</w:t>
              </w:r>
            </w:hyperlink>
          </w:p>
        </w:tc>
      </w:tr>
      <w:tr>
        <w:trPr>
          <w:trHeight w:val="210"/>
        </w:trPr>
        <w:tc>
          <w:tcPr>
            <w:tcW w:w="2040" w:type="dxa"/>
            <w:vAlign w:val="bottom"/>
            <w:tcBorders>
              <w:bottom w:val="single" w:sz="8" w:color="BFBFBF"/>
            </w:tcBorders>
          </w:tcPr>
          <w:p>
            <w:pPr>
              <w:spacing w:after="0"/>
              <w:rPr>
                <w:sz w:val="18"/>
                <w:szCs w:val="18"/>
                <w:color w:val="auto"/>
              </w:rPr>
            </w:pPr>
          </w:p>
        </w:tc>
        <w:tc>
          <w:tcPr>
            <w:tcW w:w="760" w:type="dxa"/>
            <w:vAlign w:val="bottom"/>
            <w:tcBorders>
              <w:top w:val="single" w:sz="8" w:color="0000FF"/>
              <w:bottom w:val="single" w:sz="8" w:color="BFBFBF"/>
            </w:tcBorders>
          </w:tcPr>
          <w:p>
            <w:pPr>
              <w:spacing w:after="0"/>
              <w:rPr>
                <w:sz w:val="18"/>
                <w:szCs w:val="18"/>
                <w:color w:val="auto"/>
              </w:rPr>
            </w:pPr>
          </w:p>
        </w:tc>
        <w:tc>
          <w:tcPr>
            <w:tcW w:w="1060" w:type="dxa"/>
            <w:vAlign w:val="bottom"/>
            <w:tcBorders>
              <w:top w:val="single" w:sz="8" w:color="0000FF"/>
              <w:bottom w:val="single" w:sz="8" w:color="BFBFBF"/>
            </w:tcBorders>
          </w:tcPr>
          <w:p>
            <w:pPr>
              <w:spacing w:after="0"/>
              <w:rPr>
                <w:sz w:val="18"/>
                <w:szCs w:val="18"/>
                <w:color w:val="auto"/>
              </w:rPr>
            </w:pPr>
          </w:p>
        </w:tc>
        <w:tc>
          <w:tcPr>
            <w:tcW w:w="800" w:type="dxa"/>
            <w:vAlign w:val="bottom"/>
            <w:tcBorders>
              <w:top w:val="single" w:sz="8" w:color="0000FF"/>
              <w:bottom w:val="single" w:sz="8" w:color="BFBFBF"/>
            </w:tcBorders>
          </w:tcPr>
          <w:p>
            <w:pPr>
              <w:spacing w:after="0"/>
              <w:rPr>
                <w:sz w:val="18"/>
                <w:szCs w:val="18"/>
                <w:color w:val="auto"/>
              </w:rPr>
            </w:pPr>
          </w:p>
        </w:tc>
        <w:tc>
          <w:tcPr>
            <w:tcW w:w="2440" w:type="dxa"/>
            <w:vAlign w:val="bottom"/>
            <w:tcBorders>
              <w:top w:val="single" w:sz="8" w:color="0000FF"/>
              <w:bottom w:val="single" w:sz="8" w:color="BFBFBF"/>
            </w:tcBorders>
          </w:tcPr>
          <w:p>
            <w:pPr>
              <w:spacing w:after="0"/>
              <w:rPr>
                <w:sz w:val="18"/>
                <w:szCs w:val="18"/>
                <w:color w:val="auto"/>
              </w:rPr>
            </w:pPr>
          </w:p>
        </w:tc>
        <w:tc>
          <w:tcPr>
            <w:tcW w:w="500" w:type="dxa"/>
            <w:vAlign w:val="bottom"/>
            <w:tcBorders>
              <w:top w:val="single" w:sz="8" w:color="0000FF"/>
              <w:bottom w:val="single" w:sz="8" w:color="BFBFBF"/>
            </w:tcBorders>
          </w:tcPr>
          <w:p>
            <w:pPr>
              <w:spacing w:after="0"/>
              <w:rPr>
                <w:sz w:val="18"/>
                <w:szCs w:val="18"/>
                <w:color w:val="auto"/>
              </w:rPr>
            </w:pPr>
          </w:p>
        </w:tc>
        <w:tc>
          <w:tcPr>
            <w:tcW w:w="340" w:type="dxa"/>
            <w:vAlign w:val="bottom"/>
            <w:tcBorders>
              <w:top w:val="single" w:sz="8" w:color="0000FF"/>
              <w:bottom w:val="single" w:sz="8" w:color="BFBFBF"/>
            </w:tcBorders>
          </w:tcPr>
          <w:p>
            <w:pPr>
              <w:spacing w:after="0"/>
              <w:rPr>
                <w:sz w:val="18"/>
                <w:szCs w:val="18"/>
                <w:color w:val="auto"/>
              </w:rPr>
            </w:pPr>
          </w:p>
        </w:tc>
        <w:tc>
          <w:tcPr>
            <w:tcW w:w="80" w:type="dxa"/>
            <w:vAlign w:val="bottom"/>
            <w:tcBorders>
              <w:top w:val="single" w:sz="8" w:color="0000FF"/>
              <w:bottom w:val="single" w:sz="8" w:color="BFBFBF"/>
            </w:tcBorders>
          </w:tcPr>
          <w:p>
            <w:pPr>
              <w:spacing w:after="0"/>
              <w:rPr>
                <w:sz w:val="18"/>
                <w:szCs w:val="18"/>
                <w:color w:val="auto"/>
              </w:rPr>
            </w:pPr>
          </w:p>
        </w:tc>
        <w:tc>
          <w:tcPr>
            <w:tcW w:w="420" w:type="dxa"/>
            <w:vAlign w:val="bottom"/>
            <w:tcBorders>
              <w:top w:val="single" w:sz="8" w:color="0000FF"/>
              <w:bottom w:val="single" w:sz="8" w:color="BFBFBF"/>
            </w:tcBorders>
          </w:tcPr>
          <w:p>
            <w:pPr>
              <w:spacing w:after="0"/>
              <w:rPr>
                <w:sz w:val="18"/>
                <w:szCs w:val="18"/>
                <w:color w:val="auto"/>
              </w:rPr>
            </w:pPr>
          </w:p>
        </w:tc>
        <w:tc>
          <w:tcPr>
            <w:tcW w:w="20" w:type="dxa"/>
            <w:vAlign w:val="bottom"/>
            <w:tcBorders>
              <w:top w:val="single" w:sz="8" w:color="0000FF"/>
              <w:bottom w:val="single" w:sz="8" w:color="BFBFBF"/>
            </w:tcBorders>
          </w:tcPr>
          <w:p>
            <w:pPr>
              <w:spacing w:after="0"/>
              <w:rPr>
                <w:sz w:val="18"/>
                <w:szCs w:val="18"/>
                <w:color w:val="auto"/>
              </w:rPr>
            </w:pPr>
          </w:p>
        </w:tc>
        <w:tc>
          <w:tcPr>
            <w:tcW w:w="340" w:type="dxa"/>
            <w:vAlign w:val="bottom"/>
            <w:tcBorders>
              <w:top w:val="single" w:sz="8" w:color="0000FF"/>
              <w:bottom w:val="single" w:sz="8" w:color="BFBFBF"/>
            </w:tcBorders>
          </w:tcPr>
          <w:p>
            <w:pPr>
              <w:spacing w:after="0"/>
              <w:rPr>
                <w:sz w:val="18"/>
                <w:szCs w:val="18"/>
                <w:color w:val="auto"/>
              </w:rPr>
            </w:pPr>
          </w:p>
        </w:tc>
        <w:tc>
          <w:tcPr>
            <w:tcW w:w="1920" w:type="dxa"/>
            <w:vAlign w:val="bottom"/>
            <w:tcBorders>
              <w:bottom w:val="single" w:sz="8" w:color="BFBFBF"/>
            </w:tcBorders>
          </w:tcPr>
          <w:p>
            <w:pPr>
              <w:spacing w:after="0"/>
              <w:rPr>
                <w:sz w:val="18"/>
                <w:szCs w:val="18"/>
                <w:color w:val="auto"/>
              </w:rPr>
            </w:pPr>
          </w:p>
        </w:tc>
        <w:tc>
          <w:tcPr>
            <w:tcW w:w="48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10.8*</w:t>
            </w:r>
          </w:p>
        </w:tc>
        <w:tc>
          <w:tcPr>
            <w:tcW w:w="9200" w:type="dxa"/>
            <w:vAlign w:val="bottom"/>
            <w:gridSpan w:val="14"/>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Form of Director Restricted Stock Unit Award Agreement under the 2026 Stock Incentive Plan of Honeywell</w:t>
              </w:r>
            </w:hyperlink>
          </w:p>
        </w:tc>
      </w:tr>
      <w:tr>
        <w:trPr>
          <w:trHeight w:val="20"/>
        </w:trPr>
        <w:tc>
          <w:tcPr>
            <w:tcW w:w="204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40" w:type="dxa"/>
            <w:vAlign w:val="bottom"/>
          </w:tcPr>
          <w:p>
            <w:pPr>
              <w:spacing w:after="0"/>
              <w:rPr>
                <w:sz w:val="17"/>
                <w:szCs w:val="17"/>
                <w:color w:val="auto"/>
              </w:rPr>
            </w:pPr>
          </w:p>
        </w:tc>
        <w:tc>
          <w:tcPr>
            <w:tcW w:w="9180" w:type="dxa"/>
            <w:vAlign w:val="bottom"/>
            <w:tcBorders>
              <w:bottom w:val="single" w:sz="8" w:color="0000FF"/>
            </w:tcBorders>
            <w:gridSpan w:val="13"/>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Aerospace Inc. and its Affiliates (incorporated by reference to Exhibit 10.9 of the Company’s Current Report on</w:t>
              </w:r>
            </w:hyperlink>
          </w:p>
        </w:tc>
        <w:tc>
          <w:tcPr>
            <w:tcW w:w="20" w:type="dxa"/>
            <w:vAlign w:val="bottom"/>
          </w:tcPr>
          <w:p>
            <w:pPr>
              <w:spacing w:after="0"/>
              <w:rPr>
                <w:sz w:val="17"/>
                <w:szCs w:val="17"/>
                <w:color w:val="auto"/>
              </w:rPr>
            </w:pPr>
          </w:p>
        </w:tc>
      </w:tr>
      <w:tr>
        <w:trPr>
          <w:trHeight w:val="196"/>
        </w:trPr>
        <w:tc>
          <w:tcPr>
            <w:tcW w:w="2040" w:type="dxa"/>
            <w:vAlign w:val="bottom"/>
          </w:tcPr>
          <w:p>
            <w:pPr>
              <w:spacing w:after="0"/>
              <w:rPr>
                <w:sz w:val="17"/>
                <w:szCs w:val="17"/>
                <w:color w:val="auto"/>
              </w:rPr>
            </w:pPr>
          </w:p>
        </w:tc>
        <w:tc>
          <w:tcPr>
            <w:tcW w:w="9200" w:type="dxa"/>
            <w:vAlign w:val="bottom"/>
            <w:gridSpan w:val="14"/>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Form 8-K filed on June 29, 2026)</w:t>
              </w:r>
            </w:hyperlink>
          </w:p>
        </w:tc>
      </w:tr>
      <w:tr>
        <w:trPr>
          <w:trHeight w:val="209"/>
        </w:trPr>
        <w:tc>
          <w:tcPr>
            <w:tcW w:w="2040" w:type="dxa"/>
            <w:vAlign w:val="bottom"/>
            <w:tcBorders>
              <w:bottom w:val="single" w:sz="8" w:color="BFBFBF"/>
            </w:tcBorders>
          </w:tcPr>
          <w:p>
            <w:pPr>
              <w:spacing w:after="0"/>
              <w:rPr>
                <w:sz w:val="18"/>
                <w:szCs w:val="18"/>
                <w:color w:val="auto"/>
              </w:rPr>
            </w:pPr>
          </w:p>
        </w:tc>
        <w:tc>
          <w:tcPr>
            <w:tcW w:w="760" w:type="dxa"/>
            <w:vAlign w:val="bottom"/>
            <w:tcBorders>
              <w:top w:val="single" w:sz="8" w:color="0000FF"/>
              <w:bottom w:val="single" w:sz="8" w:color="BFBFBF"/>
            </w:tcBorders>
          </w:tcPr>
          <w:p>
            <w:pPr>
              <w:spacing w:after="0"/>
              <w:rPr>
                <w:sz w:val="18"/>
                <w:szCs w:val="18"/>
                <w:color w:val="auto"/>
              </w:rPr>
            </w:pPr>
          </w:p>
        </w:tc>
        <w:tc>
          <w:tcPr>
            <w:tcW w:w="1060" w:type="dxa"/>
            <w:vAlign w:val="bottom"/>
            <w:tcBorders>
              <w:top w:val="single" w:sz="8" w:color="0000FF"/>
              <w:bottom w:val="single" w:sz="8" w:color="BFBFBF"/>
            </w:tcBorders>
          </w:tcPr>
          <w:p>
            <w:pPr>
              <w:spacing w:after="0"/>
              <w:rPr>
                <w:sz w:val="18"/>
                <w:szCs w:val="18"/>
                <w:color w:val="auto"/>
              </w:rPr>
            </w:pPr>
          </w:p>
        </w:tc>
        <w:tc>
          <w:tcPr>
            <w:tcW w:w="800" w:type="dxa"/>
            <w:vAlign w:val="bottom"/>
            <w:tcBorders>
              <w:top w:val="single" w:sz="8" w:color="0000FF"/>
              <w:bottom w:val="single" w:sz="8" w:color="BFBFBF"/>
            </w:tcBorders>
          </w:tcPr>
          <w:p>
            <w:pPr>
              <w:spacing w:after="0"/>
              <w:rPr>
                <w:sz w:val="18"/>
                <w:szCs w:val="18"/>
                <w:color w:val="auto"/>
              </w:rPr>
            </w:pPr>
          </w:p>
        </w:tc>
        <w:tc>
          <w:tcPr>
            <w:tcW w:w="2440" w:type="dxa"/>
            <w:vAlign w:val="bottom"/>
            <w:tcBorders>
              <w:bottom w:val="single" w:sz="8" w:color="BFBFBF"/>
            </w:tcBorders>
          </w:tcPr>
          <w:p>
            <w:pPr>
              <w:spacing w:after="0"/>
              <w:rPr>
                <w:sz w:val="18"/>
                <w:szCs w:val="18"/>
                <w:color w:val="auto"/>
              </w:rPr>
            </w:pPr>
          </w:p>
        </w:tc>
        <w:tc>
          <w:tcPr>
            <w:tcW w:w="500" w:type="dxa"/>
            <w:vAlign w:val="bottom"/>
            <w:tcBorders>
              <w:bottom w:val="single" w:sz="8" w:color="BFBFBF"/>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80" w:type="dxa"/>
            <w:vAlign w:val="bottom"/>
            <w:tcBorders>
              <w:bottom w:val="single" w:sz="8" w:color="BFBFBF"/>
            </w:tcBorders>
          </w:tcPr>
          <w:p>
            <w:pPr>
              <w:spacing w:after="0"/>
              <w:rPr>
                <w:sz w:val="18"/>
                <w:szCs w:val="18"/>
                <w:color w:val="auto"/>
              </w:rPr>
            </w:pPr>
          </w:p>
        </w:tc>
        <w:tc>
          <w:tcPr>
            <w:tcW w:w="4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1920" w:type="dxa"/>
            <w:vAlign w:val="bottom"/>
            <w:tcBorders>
              <w:bottom w:val="single" w:sz="8" w:color="BFBFBF"/>
            </w:tcBorders>
          </w:tcPr>
          <w:p>
            <w:pPr>
              <w:spacing w:after="0"/>
              <w:rPr>
                <w:sz w:val="18"/>
                <w:szCs w:val="18"/>
                <w:color w:val="auto"/>
              </w:rPr>
            </w:pPr>
          </w:p>
        </w:tc>
        <w:tc>
          <w:tcPr>
            <w:tcW w:w="48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10.9*</w:t>
            </w:r>
          </w:p>
        </w:tc>
        <w:tc>
          <w:tcPr>
            <w:tcW w:w="9180" w:type="dxa"/>
            <w:vAlign w:val="bottom"/>
            <w:tcBorders>
              <w:bottom w:val="single" w:sz="8" w:color="0000FF"/>
            </w:tcBorders>
            <w:gridSpan w:val="13"/>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Form of Award Agreement for Founder’s Grant (incorporated by reference to Exhibit 10.15 to Amendment No. 1 to</w:t>
              </w:r>
            </w:hyperlink>
          </w:p>
        </w:tc>
        <w:tc>
          <w:tcPr>
            <w:tcW w:w="20" w:type="dxa"/>
            <w:vAlign w:val="bottom"/>
          </w:tcPr>
          <w:p>
            <w:pPr>
              <w:spacing w:after="0"/>
              <w:rPr>
                <w:sz w:val="17"/>
                <w:szCs w:val="17"/>
                <w:color w:val="auto"/>
              </w:rPr>
            </w:pPr>
          </w:p>
        </w:tc>
      </w:tr>
      <w:tr>
        <w:trPr>
          <w:trHeight w:val="196"/>
        </w:trPr>
        <w:tc>
          <w:tcPr>
            <w:tcW w:w="2040" w:type="dxa"/>
            <w:vAlign w:val="bottom"/>
          </w:tcPr>
          <w:p>
            <w:pPr>
              <w:spacing w:after="0"/>
              <w:rPr>
                <w:sz w:val="17"/>
                <w:szCs w:val="17"/>
                <w:color w:val="auto"/>
              </w:rPr>
            </w:pPr>
          </w:p>
        </w:tc>
        <w:tc>
          <w:tcPr>
            <w:tcW w:w="9200" w:type="dxa"/>
            <w:vAlign w:val="bottom"/>
            <w:gridSpan w:val="14"/>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the Company’s Registration Statement on Form 10-12B/A filed on May 14, 2026)</w:t>
              </w:r>
            </w:hyperlink>
          </w:p>
        </w:tc>
      </w:tr>
      <w:tr>
        <w:trPr>
          <w:trHeight w:val="210"/>
        </w:trPr>
        <w:tc>
          <w:tcPr>
            <w:tcW w:w="2040" w:type="dxa"/>
            <w:vAlign w:val="bottom"/>
            <w:tcBorders>
              <w:bottom w:val="single" w:sz="8" w:color="BFBFBF"/>
            </w:tcBorders>
          </w:tcPr>
          <w:p>
            <w:pPr>
              <w:spacing w:after="0"/>
              <w:rPr>
                <w:sz w:val="18"/>
                <w:szCs w:val="18"/>
                <w:color w:val="auto"/>
              </w:rPr>
            </w:pPr>
          </w:p>
        </w:tc>
        <w:tc>
          <w:tcPr>
            <w:tcW w:w="760" w:type="dxa"/>
            <w:vAlign w:val="bottom"/>
            <w:tcBorders>
              <w:top w:val="single" w:sz="8" w:color="0000FF"/>
              <w:bottom w:val="single" w:sz="8" w:color="BFBFBF"/>
            </w:tcBorders>
          </w:tcPr>
          <w:p>
            <w:pPr>
              <w:spacing w:after="0"/>
              <w:rPr>
                <w:sz w:val="18"/>
                <w:szCs w:val="18"/>
                <w:color w:val="auto"/>
              </w:rPr>
            </w:pPr>
          </w:p>
        </w:tc>
        <w:tc>
          <w:tcPr>
            <w:tcW w:w="1060" w:type="dxa"/>
            <w:vAlign w:val="bottom"/>
            <w:tcBorders>
              <w:top w:val="single" w:sz="8" w:color="0000FF"/>
              <w:bottom w:val="single" w:sz="8" w:color="BFBFBF"/>
            </w:tcBorders>
          </w:tcPr>
          <w:p>
            <w:pPr>
              <w:spacing w:after="0"/>
              <w:rPr>
                <w:sz w:val="18"/>
                <w:szCs w:val="18"/>
                <w:color w:val="auto"/>
              </w:rPr>
            </w:pPr>
          </w:p>
        </w:tc>
        <w:tc>
          <w:tcPr>
            <w:tcW w:w="800" w:type="dxa"/>
            <w:vAlign w:val="bottom"/>
            <w:tcBorders>
              <w:top w:val="single" w:sz="8" w:color="0000FF"/>
              <w:bottom w:val="single" w:sz="8" w:color="BFBFBF"/>
            </w:tcBorders>
          </w:tcPr>
          <w:p>
            <w:pPr>
              <w:spacing w:after="0"/>
              <w:rPr>
                <w:sz w:val="18"/>
                <w:szCs w:val="18"/>
                <w:color w:val="auto"/>
              </w:rPr>
            </w:pPr>
          </w:p>
        </w:tc>
        <w:tc>
          <w:tcPr>
            <w:tcW w:w="2440" w:type="dxa"/>
            <w:vAlign w:val="bottom"/>
            <w:tcBorders>
              <w:top w:val="single" w:sz="8" w:color="0000FF"/>
              <w:bottom w:val="single" w:sz="8" w:color="BFBFBF"/>
            </w:tcBorders>
          </w:tcPr>
          <w:p>
            <w:pPr>
              <w:spacing w:after="0"/>
              <w:rPr>
                <w:sz w:val="18"/>
                <w:szCs w:val="18"/>
                <w:color w:val="auto"/>
              </w:rPr>
            </w:pPr>
          </w:p>
        </w:tc>
        <w:tc>
          <w:tcPr>
            <w:tcW w:w="500" w:type="dxa"/>
            <w:vAlign w:val="bottom"/>
            <w:tcBorders>
              <w:top w:val="single" w:sz="8" w:color="0000FF"/>
              <w:bottom w:val="single" w:sz="8" w:color="BFBFBF"/>
            </w:tcBorders>
          </w:tcPr>
          <w:p>
            <w:pPr>
              <w:spacing w:after="0"/>
              <w:rPr>
                <w:sz w:val="18"/>
                <w:szCs w:val="18"/>
                <w:color w:val="auto"/>
              </w:rPr>
            </w:pPr>
          </w:p>
        </w:tc>
        <w:tc>
          <w:tcPr>
            <w:tcW w:w="340" w:type="dxa"/>
            <w:vAlign w:val="bottom"/>
            <w:tcBorders>
              <w:top w:val="single" w:sz="8" w:color="0000FF"/>
              <w:bottom w:val="single" w:sz="8" w:color="BFBFBF"/>
            </w:tcBorders>
          </w:tcPr>
          <w:p>
            <w:pPr>
              <w:spacing w:after="0"/>
              <w:rPr>
                <w:sz w:val="18"/>
                <w:szCs w:val="18"/>
                <w:color w:val="auto"/>
              </w:rPr>
            </w:pPr>
          </w:p>
        </w:tc>
        <w:tc>
          <w:tcPr>
            <w:tcW w:w="80" w:type="dxa"/>
            <w:vAlign w:val="bottom"/>
            <w:tcBorders>
              <w:top w:val="single" w:sz="8" w:color="0000FF"/>
              <w:bottom w:val="single" w:sz="8" w:color="BFBFBF"/>
            </w:tcBorders>
          </w:tcPr>
          <w:p>
            <w:pPr>
              <w:spacing w:after="0"/>
              <w:rPr>
                <w:sz w:val="18"/>
                <w:szCs w:val="18"/>
                <w:color w:val="auto"/>
              </w:rPr>
            </w:pPr>
          </w:p>
        </w:tc>
        <w:tc>
          <w:tcPr>
            <w:tcW w:w="420" w:type="dxa"/>
            <w:vAlign w:val="bottom"/>
            <w:tcBorders>
              <w:top w:val="single" w:sz="8" w:color="0000FF"/>
              <w:bottom w:val="single" w:sz="8" w:color="BFBFBF"/>
            </w:tcBorders>
          </w:tcPr>
          <w:p>
            <w:pPr>
              <w:spacing w:after="0"/>
              <w:rPr>
                <w:sz w:val="18"/>
                <w:szCs w:val="18"/>
                <w:color w:val="auto"/>
              </w:rPr>
            </w:pPr>
          </w:p>
        </w:tc>
        <w:tc>
          <w:tcPr>
            <w:tcW w:w="20" w:type="dxa"/>
            <w:vAlign w:val="bottom"/>
            <w:tcBorders>
              <w:top w:val="single" w:sz="8" w:color="0000FF"/>
              <w:bottom w:val="single" w:sz="8" w:color="BFBFBF"/>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1920" w:type="dxa"/>
            <w:vAlign w:val="bottom"/>
            <w:tcBorders>
              <w:bottom w:val="single" w:sz="8" w:color="BFBFBF"/>
            </w:tcBorders>
          </w:tcPr>
          <w:p>
            <w:pPr>
              <w:spacing w:after="0"/>
              <w:rPr>
                <w:sz w:val="18"/>
                <w:szCs w:val="18"/>
                <w:color w:val="auto"/>
              </w:rPr>
            </w:pPr>
          </w:p>
        </w:tc>
        <w:tc>
          <w:tcPr>
            <w:tcW w:w="48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10.10*</w:t>
            </w:r>
          </w:p>
        </w:tc>
        <w:tc>
          <w:tcPr>
            <w:tcW w:w="9180" w:type="dxa"/>
            <w:vAlign w:val="bottom"/>
            <w:tcBorders>
              <w:bottom w:val="single" w:sz="8" w:color="0000FF"/>
            </w:tcBorders>
            <w:gridSpan w:val="13"/>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Honeywell Aerospace Incentive Compensation Plan for Executive Employees (incorporated by reference to Exhibit</w:t>
              </w:r>
            </w:hyperlink>
          </w:p>
        </w:tc>
        <w:tc>
          <w:tcPr>
            <w:tcW w:w="20" w:type="dxa"/>
            <w:vAlign w:val="bottom"/>
          </w:tcPr>
          <w:p>
            <w:pPr>
              <w:spacing w:after="0"/>
              <w:rPr>
                <w:sz w:val="17"/>
                <w:szCs w:val="17"/>
                <w:color w:val="auto"/>
              </w:rPr>
            </w:pPr>
          </w:p>
        </w:tc>
      </w:tr>
      <w:tr>
        <w:trPr>
          <w:trHeight w:val="196"/>
        </w:trPr>
        <w:tc>
          <w:tcPr>
            <w:tcW w:w="2040" w:type="dxa"/>
            <w:vAlign w:val="bottom"/>
          </w:tcPr>
          <w:p>
            <w:pPr>
              <w:spacing w:after="0"/>
              <w:rPr>
                <w:sz w:val="17"/>
                <w:szCs w:val="17"/>
                <w:color w:val="auto"/>
              </w:rPr>
            </w:pPr>
          </w:p>
        </w:tc>
        <w:tc>
          <w:tcPr>
            <w:tcW w:w="9200" w:type="dxa"/>
            <w:vAlign w:val="bottom"/>
            <w:gridSpan w:val="14"/>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10.</w:t>
              </w:r>
              <w:r>
                <w:rPr>
                  <w:rFonts w:ascii="Arial" w:cs="Arial" w:eastAsia="Arial" w:hAnsi="Arial"/>
                  <w:sz w:val="18"/>
                  <w:szCs w:val="18"/>
                  <w:u w:val="single" w:color="auto"/>
                  <w:color w:val="0000FF"/>
                </w:rPr>
                <w:t>18</w:t>
              </w:r>
              <w:r>
                <w:rPr>
                  <w:rFonts w:ascii="Arial" w:cs="Arial" w:eastAsia="Arial" w:hAnsi="Arial"/>
                  <w:sz w:val="18"/>
                  <w:szCs w:val="18"/>
                  <w:color w:val="0000FF"/>
                </w:rPr>
                <w:t xml:space="preserve"> of the Company's Quarterly Report on Form 10-Q filed on August 5, 2026)</w:t>
              </w:r>
            </w:hyperlink>
          </w:p>
        </w:tc>
      </w:tr>
      <w:tr>
        <w:trPr>
          <w:trHeight w:val="209"/>
        </w:trPr>
        <w:tc>
          <w:tcPr>
            <w:tcW w:w="2040" w:type="dxa"/>
            <w:vAlign w:val="bottom"/>
            <w:tcBorders>
              <w:bottom w:val="single" w:sz="8" w:color="BFBFBF"/>
            </w:tcBorders>
          </w:tcPr>
          <w:p>
            <w:pPr>
              <w:spacing w:after="0"/>
              <w:rPr>
                <w:sz w:val="18"/>
                <w:szCs w:val="18"/>
                <w:color w:val="auto"/>
              </w:rPr>
            </w:pPr>
          </w:p>
        </w:tc>
        <w:tc>
          <w:tcPr>
            <w:tcW w:w="760" w:type="dxa"/>
            <w:vAlign w:val="bottom"/>
            <w:tcBorders>
              <w:top w:val="single" w:sz="8" w:color="0000FF"/>
              <w:bottom w:val="single" w:sz="8" w:color="BFBFBF"/>
            </w:tcBorders>
          </w:tcPr>
          <w:p>
            <w:pPr>
              <w:spacing w:after="0"/>
              <w:rPr>
                <w:sz w:val="18"/>
                <w:szCs w:val="18"/>
                <w:color w:val="auto"/>
              </w:rPr>
            </w:pPr>
          </w:p>
        </w:tc>
        <w:tc>
          <w:tcPr>
            <w:tcW w:w="1060" w:type="dxa"/>
            <w:vAlign w:val="bottom"/>
            <w:tcBorders>
              <w:top w:val="single" w:sz="8" w:color="0000FF"/>
              <w:bottom w:val="single" w:sz="8" w:color="BFBFBF"/>
            </w:tcBorders>
          </w:tcPr>
          <w:p>
            <w:pPr>
              <w:spacing w:after="0"/>
              <w:rPr>
                <w:sz w:val="18"/>
                <w:szCs w:val="18"/>
                <w:color w:val="auto"/>
              </w:rPr>
            </w:pPr>
          </w:p>
        </w:tc>
        <w:tc>
          <w:tcPr>
            <w:tcW w:w="800" w:type="dxa"/>
            <w:vAlign w:val="bottom"/>
            <w:tcBorders>
              <w:top w:val="single" w:sz="8" w:color="0000FF"/>
              <w:bottom w:val="single" w:sz="8" w:color="BFBFBF"/>
            </w:tcBorders>
          </w:tcPr>
          <w:p>
            <w:pPr>
              <w:spacing w:after="0"/>
              <w:rPr>
                <w:sz w:val="18"/>
                <w:szCs w:val="18"/>
                <w:color w:val="auto"/>
              </w:rPr>
            </w:pPr>
          </w:p>
        </w:tc>
        <w:tc>
          <w:tcPr>
            <w:tcW w:w="2440" w:type="dxa"/>
            <w:vAlign w:val="bottom"/>
            <w:tcBorders>
              <w:top w:val="single" w:sz="8" w:color="0000FF"/>
              <w:bottom w:val="single" w:sz="8" w:color="BFBFBF"/>
            </w:tcBorders>
          </w:tcPr>
          <w:p>
            <w:pPr>
              <w:spacing w:after="0"/>
              <w:rPr>
                <w:sz w:val="18"/>
                <w:szCs w:val="18"/>
                <w:color w:val="auto"/>
              </w:rPr>
            </w:pPr>
          </w:p>
        </w:tc>
        <w:tc>
          <w:tcPr>
            <w:tcW w:w="500" w:type="dxa"/>
            <w:vAlign w:val="bottom"/>
            <w:tcBorders>
              <w:top w:val="single" w:sz="8" w:color="0000FF"/>
              <w:bottom w:val="single" w:sz="8" w:color="BFBFBF"/>
            </w:tcBorders>
          </w:tcPr>
          <w:p>
            <w:pPr>
              <w:spacing w:after="0"/>
              <w:rPr>
                <w:sz w:val="18"/>
                <w:szCs w:val="18"/>
                <w:color w:val="auto"/>
              </w:rPr>
            </w:pPr>
          </w:p>
        </w:tc>
        <w:tc>
          <w:tcPr>
            <w:tcW w:w="340" w:type="dxa"/>
            <w:vAlign w:val="bottom"/>
            <w:tcBorders>
              <w:top w:val="single" w:sz="8" w:color="0000FF"/>
              <w:bottom w:val="single" w:sz="8" w:color="BFBFBF"/>
            </w:tcBorders>
          </w:tcPr>
          <w:p>
            <w:pPr>
              <w:spacing w:after="0"/>
              <w:rPr>
                <w:sz w:val="18"/>
                <w:szCs w:val="18"/>
                <w:color w:val="auto"/>
              </w:rPr>
            </w:pPr>
          </w:p>
        </w:tc>
        <w:tc>
          <w:tcPr>
            <w:tcW w:w="80" w:type="dxa"/>
            <w:vAlign w:val="bottom"/>
            <w:tcBorders>
              <w:top w:val="single" w:sz="8" w:color="0000FF"/>
              <w:bottom w:val="single" w:sz="8" w:color="BFBFBF"/>
            </w:tcBorders>
          </w:tcPr>
          <w:p>
            <w:pPr>
              <w:spacing w:after="0"/>
              <w:rPr>
                <w:sz w:val="18"/>
                <w:szCs w:val="18"/>
                <w:color w:val="auto"/>
              </w:rPr>
            </w:pPr>
          </w:p>
        </w:tc>
        <w:tc>
          <w:tcPr>
            <w:tcW w:w="420" w:type="dxa"/>
            <w:vAlign w:val="bottom"/>
            <w:tcBorders>
              <w:top w:val="single" w:sz="8" w:color="0000FF"/>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1920" w:type="dxa"/>
            <w:vAlign w:val="bottom"/>
            <w:tcBorders>
              <w:bottom w:val="single" w:sz="8" w:color="BFBFBF"/>
            </w:tcBorders>
          </w:tcPr>
          <w:p>
            <w:pPr>
              <w:spacing w:after="0"/>
              <w:rPr>
                <w:sz w:val="18"/>
                <w:szCs w:val="18"/>
                <w:color w:val="auto"/>
              </w:rPr>
            </w:pPr>
          </w:p>
        </w:tc>
        <w:tc>
          <w:tcPr>
            <w:tcW w:w="48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10.11*</w:t>
            </w:r>
          </w:p>
        </w:tc>
        <w:tc>
          <w:tcPr>
            <w:tcW w:w="9180" w:type="dxa"/>
            <w:vAlign w:val="bottom"/>
            <w:tcBorders>
              <w:bottom w:val="single" w:sz="8" w:color="0000FF"/>
            </w:tcBorders>
            <w:gridSpan w:val="13"/>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Honeywell Aerospace Excess Benefit and Supplemental Savings Plan (incorporated by reference to Exhibit 10.19</w:t>
              </w:r>
            </w:hyperlink>
          </w:p>
        </w:tc>
        <w:tc>
          <w:tcPr>
            <w:tcW w:w="20" w:type="dxa"/>
            <w:vAlign w:val="bottom"/>
          </w:tcPr>
          <w:p>
            <w:pPr>
              <w:spacing w:after="0"/>
              <w:rPr>
                <w:sz w:val="17"/>
                <w:szCs w:val="17"/>
                <w:color w:val="auto"/>
              </w:rPr>
            </w:pPr>
          </w:p>
        </w:tc>
      </w:tr>
      <w:tr>
        <w:trPr>
          <w:trHeight w:val="196"/>
        </w:trPr>
        <w:tc>
          <w:tcPr>
            <w:tcW w:w="2040" w:type="dxa"/>
            <w:vAlign w:val="bottom"/>
          </w:tcPr>
          <w:p>
            <w:pPr>
              <w:spacing w:after="0"/>
              <w:rPr>
                <w:sz w:val="17"/>
                <w:szCs w:val="17"/>
                <w:color w:val="auto"/>
              </w:rPr>
            </w:pPr>
          </w:p>
        </w:tc>
        <w:tc>
          <w:tcPr>
            <w:tcW w:w="9200" w:type="dxa"/>
            <w:vAlign w:val="bottom"/>
            <w:gridSpan w:val="14"/>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of the Company's Quarterly Report on Form 10-Q filed on August 5, 2026)</w:t>
              </w:r>
            </w:hyperlink>
          </w:p>
        </w:tc>
      </w:tr>
      <w:tr>
        <w:trPr>
          <w:trHeight w:val="210"/>
        </w:trPr>
        <w:tc>
          <w:tcPr>
            <w:tcW w:w="2040" w:type="dxa"/>
            <w:vAlign w:val="bottom"/>
            <w:tcBorders>
              <w:bottom w:val="single" w:sz="8" w:color="BFBFBF"/>
            </w:tcBorders>
          </w:tcPr>
          <w:p>
            <w:pPr>
              <w:spacing w:after="0"/>
              <w:rPr>
                <w:sz w:val="18"/>
                <w:szCs w:val="18"/>
                <w:color w:val="auto"/>
              </w:rPr>
            </w:pPr>
          </w:p>
        </w:tc>
        <w:tc>
          <w:tcPr>
            <w:tcW w:w="760" w:type="dxa"/>
            <w:vAlign w:val="bottom"/>
            <w:tcBorders>
              <w:top w:val="single" w:sz="8" w:color="0000FF"/>
              <w:bottom w:val="single" w:sz="8" w:color="BFBFBF"/>
            </w:tcBorders>
          </w:tcPr>
          <w:p>
            <w:pPr>
              <w:spacing w:after="0"/>
              <w:rPr>
                <w:sz w:val="18"/>
                <w:szCs w:val="18"/>
                <w:color w:val="auto"/>
              </w:rPr>
            </w:pPr>
          </w:p>
        </w:tc>
        <w:tc>
          <w:tcPr>
            <w:tcW w:w="1060" w:type="dxa"/>
            <w:vAlign w:val="bottom"/>
            <w:tcBorders>
              <w:top w:val="single" w:sz="8" w:color="0000FF"/>
              <w:bottom w:val="single" w:sz="8" w:color="BFBFBF"/>
            </w:tcBorders>
          </w:tcPr>
          <w:p>
            <w:pPr>
              <w:spacing w:after="0"/>
              <w:rPr>
                <w:sz w:val="18"/>
                <w:szCs w:val="18"/>
                <w:color w:val="auto"/>
              </w:rPr>
            </w:pPr>
          </w:p>
        </w:tc>
        <w:tc>
          <w:tcPr>
            <w:tcW w:w="800" w:type="dxa"/>
            <w:vAlign w:val="bottom"/>
            <w:tcBorders>
              <w:top w:val="single" w:sz="8" w:color="0000FF"/>
              <w:bottom w:val="single" w:sz="8" w:color="BFBFBF"/>
            </w:tcBorders>
          </w:tcPr>
          <w:p>
            <w:pPr>
              <w:spacing w:after="0"/>
              <w:rPr>
                <w:sz w:val="18"/>
                <w:szCs w:val="18"/>
                <w:color w:val="auto"/>
              </w:rPr>
            </w:pPr>
          </w:p>
        </w:tc>
        <w:tc>
          <w:tcPr>
            <w:tcW w:w="2440" w:type="dxa"/>
            <w:vAlign w:val="bottom"/>
            <w:tcBorders>
              <w:top w:val="single" w:sz="8" w:color="0000FF"/>
              <w:bottom w:val="single" w:sz="8" w:color="BFBFBF"/>
            </w:tcBorders>
          </w:tcPr>
          <w:p>
            <w:pPr>
              <w:spacing w:after="0"/>
              <w:rPr>
                <w:sz w:val="18"/>
                <w:szCs w:val="18"/>
                <w:color w:val="auto"/>
              </w:rPr>
            </w:pPr>
          </w:p>
        </w:tc>
        <w:tc>
          <w:tcPr>
            <w:tcW w:w="500" w:type="dxa"/>
            <w:vAlign w:val="bottom"/>
            <w:tcBorders>
              <w:top w:val="single" w:sz="8" w:color="0000FF"/>
              <w:bottom w:val="single" w:sz="8" w:color="BFBFBF"/>
            </w:tcBorders>
          </w:tcPr>
          <w:p>
            <w:pPr>
              <w:spacing w:after="0"/>
              <w:rPr>
                <w:sz w:val="18"/>
                <w:szCs w:val="18"/>
                <w:color w:val="auto"/>
              </w:rPr>
            </w:pPr>
          </w:p>
        </w:tc>
        <w:tc>
          <w:tcPr>
            <w:tcW w:w="340" w:type="dxa"/>
            <w:vAlign w:val="bottom"/>
            <w:tcBorders>
              <w:top w:val="single" w:sz="8" w:color="0000FF"/>
              <w:bottom w:val="single" w:sz="8" w:color="BFBFBF"/>
            </w:tcBorders>
          </w:tcPr>
          <w:p>
            <w:pPr>
              <w:spacing w:after="0"/>
              <w:rPr>
                <w:sz w:val="18"/>
                <w:szCs w:val="18"/>
                <w:color w:val="auto"/>
              </w:rPr>
            </w:pPr>
          </w:p>
        </w:tc>
        <w:tc>
          <w:tcPr>
            <w:tcW w:w="80" w:type="dxa"/>
            <w:vAlign w:val="bottom"/>
            <w:tcBorders>
              <w:bottom w:val="single" w:sz="8" w:color="BFBFBF"/>
            </w:tcBorders>
          </w:tcPr>
          <w:p>
            <w:pPr>
              <w:spacing w:after="0"/>
              <w:rPr>
                <w:sz w:val="18"/>
                <w:szCs w:val="18"/>
                <w:color w:val="auto"/>
              </w:rPr>
            </w:pPr>
          </w:p>
        </w:tc>
        <w:tc>
          <w:tcPr>
            <w:tcW w:w="4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1920" w:type="dxa"/>
            <w:vAlign w:val="bottom"/>
            <w:tcBorders>
              <w:bottom w:val="single" w:sz="8" w:color="BFBFBF"/>
            </w:tcBorders>
          </w:tcPr>
          <w:p>
            <w:pPr>
              <w:spacing w:after="0"/>
              <w:rPr>
                <w:sz w:val="18"/>
                <w:szCs w:val="18"/>
                <w:color w:val="auto"/>
              </w:rPr>
            </w:pPr>
          </w:p>
        </w:tc>
        <w:tc>
          <w:tcPr>
            <w:tcW w:w="48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59" w:name="page60"/>
    <w:bookmarkEnd w:id="59"/>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Exhibit Number</w:t>
            </w:r>
          </w:p>
        </w:tc>
        <w:tc>
          <w:tcPr>
            <w:tcW w:w="920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177"/>
        </w:trPr>
        <w:tc>
          <w:tcPr>
            <w:tcW w:w="2040" w:type="dxa"/>
            <w:vAlign w:val="bottom"/>
            <w:tcBorders>
              <w:bottom w:val="single" w:sz="8" w:color="BFBFBF"/>
            </w:tcBorders>
          </w:tcPr>
          <w:p>
            <w:pPr>
              <w:spacing w:after="0"/>
              <w:rPr>
                <w:sz w:val="15"/>
                <w:szCs w:val="15"/>
                <w:color w:val="auto"/>
              </w:rPr>
            </w:pPr>
          </w:p>
        </w:tc>
        <w:tc>
          <w:tcPr>
            <w:tcW w:w="740" w:type="dxa"/>
            <w:vAlign w:val="bottom"/>
            <w:tcBorders>
              <w:bottom w:val="single" w:sz="8" w:color="BFBFBF"/>
            </w:tcBorders>
          </w:tcPr>
          <w:p>
            <w:pPr>
              <w:spacing w:after="0"/>
              <w:rPr>
                <w:sz w:val="15"/>
                <w:szCs w:val="15"/>
                <w:color w:val="auto"/>
              </w:rPr>
            </w:pPr>
          </w:p>
        </w:tc>
        <w:tc>
          <w:tcPr>
            <w:tcW w:w="1400" w:type="dxa"/>
            <w:vAlign w:val="bottom"/>
            <w:tcBorders>
              <w:bottom w:val="single" w:sz="8" w:color="BFBFBF"/>
            </w:tcBorders>
          </w:tcPr>
          <w:p>
            <w:pPr>
              <w:spacing w:after="0"/>
              <w:rPr>
                <w:sz w:val="15"/>
                <w:szCs w:val="15"/>
                <w:color w:val="auto"/>
              </w:rPr>
            </w:pPr>
          </w:p>
        </w:tc>
        <w:tc>
          <w:tcPr>
            <w:tcW w:w="1600" w:type="dxa"/>
            <w:vAlign w:val="bottom"/>
            <w:tcBorders>
              <w:bottom w:val="single" w:sz="8" w:color="BFBFBF"/>
            </w:tcBorders>
          </w:tcPr>
          <w:p>
            <w:pPr>
              <w:spacing w:after="0"/>
              <w:rPr>
                <w:sz w:val="15"/>
                <w:szCs w:val="15"/>
                <w:color w:val="auto"/>
              </w:rPr>
            </w:pPr>
          </w:p>
        </w:tc>
        <w:tc>
          <w:tcPr>
            <w:tcW w:w="640" w:type="dxa"/>
            <w:vAlign w:val="bottom"/>
            <w:tcBorders>
              <w:bottom w:val="single" w:sz="8" w:color="BFBFBF"/>
            </w:tcBorders>
          </w:tcPr>
          <w:p>
            <w:pPr>
              <w:spacing w:after="0"/>
              <w:rPr>
                <w:sz w:val="15"/>
                <w:szCs w:val="15"/>
                <w:color w:val="auto"/>
              </w:rPr>
            </w:pPr>
          </w:p>
        </w:tc>
        <w:tc>
          <w:tcPr>
            <w:tcW w:w="60" w:type="dxa"/>
            <w:vAlign w:val="bottom"/>
            <w:tcBorders>
              <w:bottom w:val="single" w:sz="8" w:color="BFBFBF"/>
            </w:tcBorders>
          </w:tcPr>
          <w:p>
            <w:pPr>
              <w:spacing w:after="0"/>
              <w:rPr>
                <w:sz w:val="15"/>
                <w:szCs w:val="15"/>
                <w:color w:val="auto"/>
              </w:rPr>
            </w:pPr>
          </w:p>
        </w:tc>
        <w:tc>
          <w:tcPr>
            <w:tcW w:w="880" w:type="dxa"/>
            <w:vAlign w:val="bottom"/>
            <w:tcBorders>
              <w:bottom w:val="single" w:sz="8" w:color="BFBFBF"/>
            </w:tcBorders>
          </w:tcPr>
          <w:p>
            <w:pPr>
              <w:spacing w:after="0"/>
              <w:rPr>
                <w:sz w:val="15"/>
                <w:szCs w:val="15"/>
                <w:color w:val="auto"/>
              </w:rPr>
            </w:pPr>
          </w:p>
        </w:tc>
        <w:tc>
          <w:tcPr>
            <w:tcW w:w="3840" w:type="dxa"/>
            <w:vAlign w:val="bottom"/>
            <w:tcBorders>
              <w:bottom w:val="single" w:sz="8" w:color="BFBFBF"/>
            </w:tcBorders>
          </w:tcPr>
          <w:p>
            <w:pPr>
              <w:spacing w:after="0"/>
              <w:rPr>
                <w:sz w:val="15"/>
                <w:szCs w:val="15"/>
                <w:color w:val="auto"/>
              </w:rPr>
            </w:pPr>
          </w:p>
        </w:tc>
        <w:tc>
          <w:tcPr>
            <w:tcW w:w="20" w:type="dxa"/>
            <w:vAlign w:val="bottom"/>
            <w:tcBorders>
              <w:bottom w:val="single" w:sz="8" w:color="BFBFBF"/>
            </w:tcBorders>
          </w:tcPr>
          <w:p>
            <w:pPr>
              <w:spacing w:after="0"/>
              <w:rPr>
                <w:sz w:val="15"/>
                <w:szCs w:val="15"/>
                <w:color w:val="auto"/>
              </w:rPr>
            </w:pPr>
          </w:p>
        </w:tc>
        <w:tc>
          <w:tcPr>
            <w:tcW w:w="20" w:type="dxa"/>
            <w:vAlign w:val="bottom"/>
            <w:tcBorders>
              <w:bottom w:val="single" w:sz="8" w:color="BFBFBF"/>
            </w:tcBorders>
          </w:tcPr>
          <w:p>
            <w:pPr>
              <w:spacing w:after="0"/>
              <w:rPr>
                <w:sz w:val="15"/>
                <w:szCs w:val="15"/>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10.12*</w:t>
            </w:r>
          </w:p>
        </w:tc>
        <w:tc>
          <w:tcPr>
            <w:tcW w:w="9200" w:type="dxa"/>
            <w:vAlign w:val="bottom"/>
            <w:tcBorders>
              <w:bottom w:val="single" w:sz="8" w:color="0000FF"/>
            </w:tcBorders>
            <w:gridSpan w:val="9"/>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Honeywell Aerospace Deferred Incentive Compensation Plan (incorporated by reference to Exhibit 10.20 of the</w:t>
              </w:r>
            </w:hyperlink>
          </w:p>
        </w:tc>
      </w:tr>
      <w:tr>
        <w:trPr>
          <w:trHeight w:val="196"/>
        </w:trPr>
        <w:tc>
          <w:tcPr>
            <w:tcW w:w="2040" w:type="dxa"/>
            <w:vAlign w:val="bottom"/>
          </w:tcPr>
          <w:p>
            <w:pPr>
              <w:spacing w:after="0"/>
              <w:rPr>
                <w:sz w:val="17"/>
                <w:szCs w:val="17"/>
                <w:color w:val="auto"/>
              </w:rPr>
            </w:pPr>
          </w:p>
        </w:tc>
        <w:tc>
          <w:tcPr>
            <w:tcW w:w="9200" w:type="dxa"/>
            <w:vAlign w:val="bottom"/>
            <w:gridSpan w:val="9"/>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Company's Quarterly report on Form 10-Q filed on August 5, 2026)</w:t>
              </w:r>
            </w:hyperlink>
          </w:p>
        </w:tc>
      </w:tr>
      <w:tr>
        <w:trPr>
          <w:trHeight w:val="210"/>
        </w:trPr>
        <w:tc>
          <w:tcPr>
            <w:tcW w:w="2040" w:type="dxa"/>
            <w:vAlign w:val="bottom"/>
            <w:tcBorders>
              <w:bottom w:val="single" w:sz="8" w:color="BFBFBF"/>
            </w:tcBorders>
          </w:tcPr>
          <w:p>
            <w:pPr>
              <w:spacing w:after="0"/>
              <w:rPr>
                <w:sz w:val="18"/>
                <w:szCs w:val="18"/>
                <w:color w:val="auto"/>
              </w:rPr>
            </w:pPr>
          </w:p>
        </w:tc>
        <w:tc>
          <w:tcPr>
            <w:tcW w:w="740" w:type="dxa"/>
            <w:vAlign w:val="bottom"/>
            <w:tcBorders>
              <w:top w:val="single" w:sz="8" w:color="0000FF"/>
              <w:bottom w:val="single" w:sz="8" w:color="BFBFBF"/>
            </w:tcBorders>
          </w:tcPr>
          <w:p>
            <w:pPr>
              <w:spacing w:after="0"/>
              <w:rPr>
                <w:sz w:val="18"/>
                <w:szCs w:val="18"/>
                <w:color w:val="auto"/>
              </w:rPr>
            </w:pPr>
          </w:p>
        </w:tc>
        <w:tc>
          <w:tcPr>
            <w:tcW w:w="1400" w:type="dxa"/>
            <w:vAlign w:val="bottom"/>
            <w:tcBorders>
              <w:top w:val="single" w:sz="8" w:color="0000FF"/>
              <w:bottom w:val="single" w:sz="8" w:color="BFBFBF"/>
            </w:tcBorders>
          </w:tcPr>
          <w:p>
            <w:pPr>
              <w:spacing w:after="0"/>
              <w:rPr>
                <w:sz w:val="18"/>
                <w:szCs w:val="18"/>
                <w:color w:val="auto"/>
              </w:rPr>
            </w:pPr>
          </w:p>
        </w:tc>
        <w:tc>
          <w:tcPr>
            <w:tcW w:w="1600" w:type="dxa"/>
            <w:vAlign w:val="bottom"/>
            <w:tcBorders>
              <w:top w:val="single" w:sz="8" w:color="0000FF"/>
              <w:bottom w:val="single" w:sz="8" w:color="BFBFBF"/>
            </w:tcBorders>
          </w:tcPr>
          <w:p>
            <w:pPr>
              <w:spacing w:after="0"/>
              <w:rPr>
                <w:sz w:val="18"/>
                <w:szCs w:val="18"/>
                <w:color w:val="auto"/>
              </w:rPr>
            </w:pPr>
          </w:p>
        </w:tc>
        <w:tc>
          <w:tcPr>
            <w:tcW w:w="640" w:type="dxa"/>
            <w:vAlign w:val="bottom"/>
            <w:tcBorders>
              <w:top w:val="single" w:sz="8" w:color="0000FF"/>
              <w:bottom w:val="single" w:sz="8" w:color="BFBFBF"/>
            </w:tcBorders>
          </w:tcPr>
          <w:p>
            <w:pPr>
              <w:spacing w:after="0"/>
              <w:rPr>
                <w:sz w:val="18"/>
                <w:szCs w:val="18"/>
                <w:color w:val="auto"/>
              </w:rPr>
            </w:pPr>
          </w:p>
        </w:tc>
        <w:tc>
          <w:tcPr>
            <w:tcW w:w="60" w:type="dxa"/>
            <w:vAlign w:val="bottom"/>
            <w:tcBorders>
              <w:top w:val="single" w:sz="8" w:color="0000FF"/>
              <w:bottom w:val="single" w:sz="8" w:color="BFBFBF"/>
            </w:tcBorders>
          </w:tcPr>
          <w:p>
            <w:pPr>
              <w:spacing w:after="0"/>
              <w:rPr>
                <w:sz w:val="18"/>
                <w:szCs w:val="18"/>
                <w:color w:val="auto"/>
              </w:rPr>
            </w:pPr>
          </w:p>
        </w:tc>
        <w:tc>
          <w:tcPr>
            <w:tcW w:w="880" w:type="dxa"/>
            <w:vAlign w:val="bottom"/>
            <w:tcBorders>
              <w:top w:val="single" w:sz="8" w:color="0000FF"/>
              <w:bottom w:val="single" w:sz="8" w:color="BFBFBF"/>
            </w:tcBorders>
          </w:tcPr>
          <w:p>
            <w:pPr>
              <w:spacing w:after="0"/>
              <w:rPr>
                <w:sz w:val="18"/>
                <w:szCs w:val="18"/>
                <w:color w:val="auto"/>
              </w:rPr>
            </w:pPr>
          </w:p>
        </w:tc>
        <w:tc>
          <w:tcPr>
            <w:tcW w:w="384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10.13*</w:t>
            </w:r>
          </w:p>
        </w:tc>
        <w:tc>
          <w:tcPr>
            <w:tcW w:w="9200" w:type="dxa"/>
            <w:vAlign w:val="bottom"/>
            <w:tcBorders>
              <w:bottom w:val="single" w:sz="8" w:color="0000FF"/>
            </w:tcBorders>
            <w:gridSpan w:val="9"/>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Honeywell Aerospace Supplemental Pension Plan (incorporated by reference to Exhibit 10.21 of the Company's</w:t>
              </w:r>
            </w:hyperlink>
          </w:p>
        </w:tc>
      </w:tr>
      <w:tr>
        <w:trPr>
          <w:trHeight w:val="196"/>
        </w:trPr>
        <w:tc>
          <w:tcPr>
            <w:tcW w:w="2040" w:type="dxa"/>
            <w:vAlign w:val="bottom"/>
          </w:tcPr>
          <w:p>
            <w:pPr>
              <w:spacing w:after="0"/>
              <w:rPr>
                <w:sz w:val="17"/>
                <w:szCs w:val="17"/>
                <w:color w:val="auto"/>
              </w:rPr>
            </w:pPr>
          </w:p>
        </w:tc>
        <w:tc>
          <w:tcPr>
            <w:tcW w:w="9200" w:type="dxa"/>
            <w:vAlign w:val="bottom"/>
            <w:gridSpan w:val="9"/>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Quarterly Report on Form 10-Q filed on August 5, 2026)</w:t>
              </w:r>
            </w:hyperlink>
          </w:p>
        </w:tc>
      </w:tr>
      <w:tr>
        <w:trPr>
          <w:trHeight w:val="210"/>
        </w:trPr>
        <w:tc>
          <w:tcPr>
            <w:tcW w:w="2040" w:type="dxa"/>
            <w:vAlign w:val="bottom"/>
            <w:tcBorders>
              <w:bottom w:val="single" w:sz="8" w:color="BFBFBF"/>
            </w:tcBorders>
          </w:tcPr>
          <w:p>
            <w:pPr>
              <w:spacing w:after="0"/>
              <w:rPr>
                <w:sz w:val="18"/>
                <w:szCs w:val="18"/>
                <w:color w:val="auto"/>
              </w:rPr>
            </w:pPr>
          </w:p>
        </w:tc>
        <w:tc>
          <w:tcPr>
            <w:tcW w:w="740" w:type="dxa"/>
            <w:vAlign w:val="bottom"/>
            <w:tcBorders>
              <w:top w:val="single" w:sz="8" w:color="0000FF"/>
              <w:bottom w:val="single" w:sz="8" w:color="BFBFBF"/>
            </w:tcBorders>
          </w:tcPr>
          <w:p>
            <w:pPr>
              <w:spacing w:after="0"/>
              <w:rPr>
                <w:sz w:val="18"/>
                <w:szCs w:val="18"/>
                <w:color w:val="auto"/>
              </w:rPr>
            </w:pPr>
          </w:p>
        </w:tc>
        <w:tc>
          <w:tcPr>
            <w:tcW w:w="1400" w:type="dxa"/>
            <w:vAlign w:val="bottom"/>
            <w:tcBorders>
              <w:top w:val="single" w:sz="8" w:color="0000FF"/>
              <w:bottom w:val="single" w:sz="8" w:color="BFBFBF"/>
            </w:tcBorders>
          </w:tcPr>
          <w:p>
            <w:pPr>
              <w:spacing w:after="0"/>
              <w:rPr>
                <w:sz w:val="18"/>
                <w:szCs w:val="18"/>
                <w:color w:val="auto"/>
              </w:rPr>
            </w:pPr>
          </w:p>
        </w:tc>
        <w:tc>
          <w:tcPr>
            <w:tcW w:w="1600" w:type="dxa"/>
            <w:vAlign w:val="bottom"/>
            <w:tcBorders>
              <w:top w:val="single" w:sz="8" w:color="0000FF"/>
              <w:bottom w:val="single" w:sz="8" w:color="BFBFBF"/>
            </w:tcBorders>
          </w:tcPr>
          <w:p>
            <w:pPr>
              <w:spacing w:after="0"/>
              <w:rPr>
                <w:sz w:val="18"/>
                <w:szCs w:val="18"/>
                <w:color w:val="auto"/>
              </w:rPr>
            </w:pPr>
          </w:p>
        </w:tc>
        <w:tc>
          <w:tcPr>
            <w:tcW w:w="640" w:type="dxa"/>
            <w:vAlign w:val="bottom"/>
            <w:tcBorders>
              <w:top w:val="single" w:sz="8" w:color="0000FF"/>
              <w:bottom w:val="single" w:sz="8" w:color="BFBFBF"/>
            </w:tcBorders>
          </w:tcPr>
          <w:p>
            <w:pPr>
              <w:spacing w:after="0"/>
              <w:rPr>
                <w:sz w:val="18"/>
                <w:szCs w:val="18"/>
                <w:color w:val="auto"/>
              </w:rPr>
            </w:pPr>
          </w:p>
        </w:tc>
        <w:tc>
          <w:tcPr>
            <w:tcW w:w="60" w:type="dxa"/>
            <w:vAlign w:val="bottom"/>
            <w:tcBorders>
              <w:top w:val="single" w:sz="8" w:color="0000FF"/>
              <w:bottom w:val="single" w:sz="8" w:color="BFBFBF"/>
            </w:tcBorders>
          </w:tcPr>
          <w:p>
            <w:pPr>
              <w:spacing w:after="0"/>
              <w:rPr>
                <w:sz w:val="18"/>
                <w:szCs w:val="18"/>
                <w:color w:val="auto"/>
              </w:rPr>
            </w:pPr>
          </w:p>
        </w:tc>
        <w:tc>
          <w:tcPr>
            <w:tcW w:w="880" w:type="dxa"/>
            <w:vAlign w:val="bottom"/>
            <w:tcBorders>
              <w:bottom w:val="single" w:sz="8" w:color="BFBFBF"/>
            </w:tcBorders>
          </w:tcPr>
          <w:p>
            <w:pPr>
              <w:spacing w:after="0"/>
              <w:rPr>
                <w:sz w:val="18"/>
                <w:szCs w:val="18"/>
                <w:color w:val="auto"/>
              </w:rPr>
            </w:pPr>
          </w:p>
        </w:tc>
        <w:tc>
          <w:tcPr>
            <w:tcW w:w="384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10.14*</w:t>
            </w:r>
          </w:p>
        </w:tc>
        <w:tc>
          <w:tcPr>
            <w:tcW w:w="920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rPr>
              <w:t>Form of US Officer Restricted Stock Unit Award Agreement under the 2026 Stock Incentive Plan of Honeywell</w:t>
            </w:r>
          </w:p>
        </w:tc>
      </w:tr>
      <w:tr>
        <w:trPr>
          <w:trHeight w:val="196"/>
        </w:trPr>
        <w:tc>
          <w:tcPr>
            <w:tcW w:w="2040" w:type="dxa"/>
            <w:vAlign w:val="bottom"/>
          </w:tcPr>
          <w:p>
            <w:pPr>
              <w:spacing w:after="0"/>
              <w:rPr>
                <w:sz w:val="17"/>
                <w:szCs w:val="17"/>
                <w:color w:val="auto"/>
              </w:rPr>
            </w:pPr>
          </w:p>
        </w:tc>
        <w:tc>
          <w:tcPr>
            <w:tcW w:w="9200" w:type="dxa"/>
            <w:vAlign w:val="bottom"/>
            <w:gridSpan w:val="9"/>
          </w:tcPr>
          <w:p>
            <w:pPr>
              <w:spacing w:after="0" w:line="196" w:lineRule="exact"/>
              <w:rPr>
                <w:sz w:val="20"/>
                <w:szCs w:val="20"/>
                <w:color w:val="auto"/>
              </w:rPr>
            </w:pPr>
            <w:r>
              <w:rPr>
                <w:rFonts w:ascii="Arial" w:cs="Arial" w:eastAsia="Arial" w:hAnsi="Arial"/>
                <w:sz w:val="18"/>
                <w:szCs w:val="18"/>
                <w:color w:val="0000FF"/>
              </w:rPr>
              <w:t>Aerospace Inc. and its Affiliates (filed herewith)</w:t>
            </w:r>
          </w:p>
        </w:tc>
      </w:tr>
      <w:tr>
        <w:trPr>
          <w:trHeight w:val="209"/>
        </w:trPr>
        <w:tc>
          <w:tcPr>
            <w:tcW w:w="2040" w:type="dxa"/>
            <w:vAlign w:val="bottom"/>
            <w:tcBorders>
              <w:bottom w:val="single" w:sz="8" w:color="BFBFBF"/>
            </w:tcBorders>
          </w:tcPr>
          <w:p>
            <w:pPr>
              <w:spacing w:after="0"/>
              <w:rPr>
                <w:sz w:val="18"/>
                <w:szCs w:val="18"/>
                <w:color w:val="auto"/>
              </w:rPr>
            </w:pPr>
          </w:p>
        </w:tc>
        <w:tc>
          <w:tcPr>
            <w:tcW w:w="740" w:type="dxa"/>
            <w:vAlign w:val="bottom"/>
            <w:tcBorders>
              <w:top w:val="single" w:sz="8" w:color="0000FF"/>
              <w:bottom w:val="single" w:sz="8" w:color="BFBFBF"/>
            </w:tcBorders>
          </w:tcPr>
          <w:p>
            <w:pPr>
              <w:spacing w:after="0"/>
              <w:rPr>
                <w:sz w:val="18"/>
                <w:szCs w:val="18"/>
                <w:color w:val="auto"/>
              </w:rPr>
            </w:pPr>
          </w:p>
        </w:tc>
        <w:tc>
          <w:tcPr>
            <w:tcW w:w="1400" w:type="dxa"/>
            <w:vAlign w:val="bottom"/>
            <w:tcBorders>
              <w:top w:val="single" w:sz="8" w:color="0000FF"/>
              <w:bottom w:val="single" w:sz="8" w:color="BFBFBF"/>
            </w:tcBorders>
          </w:tcPr>
          <w:p>
            <w:pPr>
              <w:spacing w:after="0"/>
              <w:rPr>
                <w:sz w:val="18"/>
                <w:szCs w:val="18"/>
                <w:color w:val="auto"/>
              </w:rPr>
            </w:pPr>
          </w:p>
        </w:tc>
        <w:tc>
          <w:tcPr>
            <w:tcW w:w="1600" w:type="dxa"/>
            <w:vAlign w:val="bottom"/>
            <w:tcBorders>
              <w:top w:val="single" w:sz="8" w:color="0000FF"/>
              <w:bottom w:val="single" w:sz="8" w:color="BFBFBF"/>
            </w:tcBorders>
          </w:tcPr>
          <w:p>
            <w:pPr>
              <w:spacing w:after="0"/>
              <w:rPr>
                <w:sz w:val="18"/>
                <w:szCs w:val="18"/>
                <w:color w:val="auto"/>
              </w:rPr>
            </w:pPr>
          </w:p>
        </w:tc>
        <w:tc>
          <w:tcPr>
            <w:tcW w:w="640" w:type="dxa"/>
            <w:vAlign w:val="bottom"/>
            <w:tcBorders>
              <w:bottom w:val="single" w:sz="8" w:color="BFBFBF"/>
            </w:tcBorders>
          </w:tcPr>
          <w:p>
            <w:pPr>
              <w:spacing w:after="0"/>
              <w:rPr>
                <w:sz w:val="18"/>
                <w:szCs w:val="18"/>
                <w:color w:val="auto"/>
              </w:rPr>
            </w:pPr>
          </w:p>
        </w:tc>
        <w:tc>
          <w:tcPr>
            <w:tcW w:w="60" w:type="dxa"/>
            <w:vAlign w:val="bottom"/>
            <w:tcBorders>
              <w:bottom w:val="single" w:sz="8" w:color="BFBFBF"/>
            </w:tcBorders>
          </w:tcPr>
          <w:p>
            <w:pPr>
              <w:spacing w:after="0"/>
              <w:rPr>
                <w:sz w:val="18"/>
                <w:szCs w:val="18"/>
                <w:color w:val="auto"/>
              </w:rPr>
            </w:pPr>
          </w:p>
        </w:tc>
        <w:tc>
          <w:tcPr>
            <w:tcW w:w="880" w:type="dxa"/>
            <w:vAlign w:val="bottom"/>
            <w:tcBorders>
              <w:bottom w:val="single" w:sz="8" w:color="BFBFBF"/>
            </w:tcBorders>
          </w:tcPr>
          <w:p>
            <w:pPr>
              <w:spacing w:after="0"/>
              <w:rPr>
                <w:sz w:val="18"/>
                <w:szCs w:val="18"/>
                <w:color w:val="auto"/>
              </w:rPr>
            </w:pPr>
          </w:p>
        </w:tc>
        <w:tc>
          <w:tcPr>
            <w:tcW w:w="384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10.15*</w:t>
            </w:r>
          </w:p>
        </w:tc>
        <w:tc>
          <w:tcPr>
            <w:tcW w:w="920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9"/>
              </w:rPr>
              <w:t>Form of US Officer Option Award Agreement under the 2026 Stock Incentive Plan of Honeywell Aerospace Inc. and</w:t>
            </w:r>
          </w:p>
        </w:tc>
      </w:tr>
      <w:tr>
        <w:trPr>
          <w:trHeight w:val="196"/>
        </w:trPr>
        <w:tc>
          <w:tcPr>
            <w:tcW w:w="2040" w:type="dxa"/>
            <w:vAlign w:val="bottom"/>
          </w:tcPr>
          <w:p>
            <w:pPr>
              <w:spacing w:after="0"/>
              <w:rPr>
                <w:sz w:val="17"/>
                <w:szCs w:val="17"/>
                <w:color w:val="auto"/>
              </w:rPr>
            </w:pPr>
          </w:p>
        </w:tc>
        <w:tc>
          <w:tcPr>
            <w:tcW w:w="9200" w:type="dxa"/>
            <w:vAlign w:val="bottom"/>
            <w:gridSpan w:val="9"/>
          </w:tcPr>
          <w:p>
            <w:pPr>
              <w:spacing w:after="0" w:line="196" w:lineRule="exact"/>
              <w:rPr>
                <w:sz w:val="20"/>
                <w:szCs w:val="20"/>
                <w:color w:val="auto"/>
              </w:rPr>
            </w:pPr>
            <w:r>
              <w:rPr>
                <w:rFonts w:ascii="Arial" w:cs="Arial" w:eastAsia="Arial" w:hAnsi="Arial"/>
                <w:sz w:val="18"/>
                <w:szCs w:val="18"/>
                <w:color w:val="0000FF"/>
              </w:rPr>
              <w:t>its Affiliates (filed herewith)</w:t>
            </w:r>
          </w:p>
        </w:tc>
      </w:tr>
      <w:tr>
        <w:trPr>
          <w:trHeight w:val="210"/>
        </w:trPr>
        <w:tc>
          <w:tcPr>
            <w:tcW w:w="2040" w:type="dxa"/>
            <w:vAlign w:val="bottom"/>
            <w:tcBorders>
              <w:bottom w:val="single" w:sz="8" w:color="BFBFBF"/>
            </w:tcBorders>
          </w:tcPr>
          <w:p>
            <w:pPr>
              <w:spacing w:after="0"/>
              <w:rPr>
                <w:sz w:val="18"/>
                <w:szCs w:val="18"/>
                <w:color w:val="auto"/>
              </w:rPr>
            </w:pPr>
          </w:p>
        </w:tc>
        <w:tc>
          <w:tcPr>
            <w:tcW w:w="740" w:type="dxa"/>
            <w:vAlign w:val="bottom"/>
            <w:tcBorders>
              <w:top w:val="single" w:sz="8" w:color="0000FF"/>
              <w:bottom w:val="single" w:sz="8" w:color="BFBFBF"/>
            </w:tcBorders>
          </w:tcPr>
          <w:p>
            <w:pPr>
              <w:spacing w:after="0"/>
              <w:rPr>
                <w:sz w:val="18"/>
                <w:szCs w:val="18"/>
                <w:color w:val="auto"/>
              </w:rPr>
            </w:pPr>
          </w:p>
        </w:tc>
        <w:tc>
          <w:tcPr>
            <w:tcW w:w="1400" w:type="dxa"/>
            <w:vAlign w:val="bottom"/>
            <w:tcBorders>
              <w:top w:val="single" w:sz="8" w:color="0000FF"/>
              <w:bottom w:val="single" w:sz="8" w:color="BFBFBF"/>
            </w:tcBorders>
          </w:tcPr>
          <w:p>
            <w:pPr>
              <w:spacing w:after="0"/>
              <w:rPr>
                <w:sz w:val="18"/>
                <w:szCs w:val="18"/>
                <w:color w:val="auto"/>
              </w:rPr>
            </w:pPr>
          </w:p>
        </w:tc>
        <w:tc>
          <w:tcPr>
            <w:tcW w:w="1600" w:type="dxa"/>
            <w:vAlign w:val="bottom"/>
            <w:tcBorders>
              <w:bottom w:val="single" w:sz="8" w:color="BFBFBF"/>
            </w:tcBorders>
          </w:tcPr>
          <w:p>
            <w:pPr>
              <w:spacing w:after="0"/>
              <w:rPr>
                <w:sz w:val="18"/>
                <w:szCs w:val="18"/>
                <w:color w:val="auto"/>
              </w:rPr>
            </w:pPr>
          </w:p>
        </w:tc>
        <w:tc>
          <w:tcPr>
            <w:tcW w:w="640" w:type="dxa"/>
            <w:vAlign w:val="bottom"/>
            <w:tcBorders>
              <w:bottom w:val="single" w:sz="8" w:color="BFBFBF"/>
            </w:tcBorders>
          </w:tcPr>
          <w:p>
            <w:pPr>
              <w:spacing w:after="0"/>
              <w:rPr>
                <w:sz w:val="18"/>
                <w:szCs w:val="18"/>
                <w:color w:val="auto"/>
              </w:rPr>
            </w:pPr>
          </w:p>
        </w:tc>
        <w:tc>
          <w:tcPr>
            <w:tcW w:w="60" w:type="dxa"/>
            <w:vAlign w:val="bottom"/>
            <w:tcBorders>
              <w:bottom w:val="single" w:sz="8" w:color="BFBFBF"/>
            </w:tcBorders>
          </w:tcPr>
          <w:p>
            <w:pPr>
              <w:spacing w:after="0"/>
              <w:rPr>
                <w:sz w:val="18"/>
                <w:szCs w:val="18"/>
                <w:color w:val="auto"/>
              </w:rPr>
            </w:pPr>
          </w:p>
        </w:tc>
        <w:tc>
          <w:tcPr>
            <w:tcW w:w="880" w:type="dxa"/>
            <w:vAlign w:val="bottom"/>
            <w:tcBorders>
              <w:bottom w:val="single" w:sz="8" w:color="BFBFBF"/>
            </w:tcBorders>
          </w:tcPr>
          <w:p>
            <w:pPr>
              <w:spacing w:after="0"/>
              <w:rPr>
                <w:sz w:val="18"/>
                <w:szCs w:val="18"/>
                <w:color w:val="auto"/>
              </w:rPr>
            </w:pPr>
          </w:p>
        </w:tc>
        <w:tc>
          <w:tcPr>
            <w:tcW w:w="384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920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 Section 302 of the Sarbanes-Oxley Act of 2002 (filed</w:t>
            </w:r>
          </w:p>
        </w:tc>
      </w:tr>
      <w:tr>
        <w:trPr>
          <w:trHeight w:val="196"/>
        </w:trPr>
        <w:tc>
          <w:tcPr>
            <w:tcW w:w="2040" w:type="dxa"/>
            <w:vAlign w:val="bottom"/>
          </w:tcPr>
          <w:p>
            <w:pPr>
              <w:spacing w:after="0"/>
              <w:rPr>
                <w:sz w:val="17"/>
                <w:szCs w:val="17"/>
                <w:color w:val="auto"/>
              </w:rPr>
            </w:pPr>
          </w:p>
        </w:tc>
        <w:tc>
          <w:tcPr>
            <w:tcW w:w="9200" w:type="dxa"/>
            <w:vAlign w:val="bottom"/>
            <w:gridSpan w:val="9"/>
          </w:tcPr>
          <w:p>
            <w:pPr>
              <w:spacing w:after="0" w:line="196" w:lineRule="exact"/>
              <w:rPr>
                <w:sz w:val="20"/>
                <w:szCs w:val="20"/>
                <w:color w:val="auto"/>
              </w:rPr>
            </w:pPr>
            <w:r>
              <w:rPr>
                <w:rFonts w:ascii="Arial" w:cs="Arial" w:eastAsia="Arial" w:hAnsi="Arial"/>
                <w:sz w:val="18"/>
                <w:szCs w:val="18"/>
                <w:color w:val="0000FF"/>
              </w:rPr>
              <w:t>herewith)</w:t>
            </w:r>
          </w:p>
        </w:tc>
      </w:tr>
      <w:tr>
        <w:trPr>
          <w:trHeight w:val="210"/>
        </w:trPr>
        <w:tc>
          <w:tcPr>
            <w:tcW w:w="2040" w:type="dxa"/>
            <w:vAlign w:val="bottom"/>
            <w:tcBorders>
              <w:bottom w:val="single" w:sz="8" w:color="BFBFBF"/>
            </w:tcBorders>
          </w:tcPr>
          <w:p>
            <w:pPr>
              <w:spacing w:after="0"/>
              <w:rPr>
                <w:sz w:val="18"/>
                <w:szCs w:val="18"/>
                <w:color w:val="auto"/>
              </w:rPr>
            </w:pPr>
          </w:p>
        </w:tc>
        <w:tc>
          <w:tcPr>
            <w:tcW w:w="740" w:type="dxa"/>
            <w:vAlign w:val="bottom"/>
            <w:tcBorders>
              <w:top w:val="single" w:sz="8" w:color="0000FF"/>
              <w:bottom w:val="single" w:sz="8" w:color="BFBFBF"/>
            </w:tcBorders>
          </w:tcPr>
          <w:p>
            <w:pPr>
              <w:spacing w:after="0"/>
              <w:rPr>
                <w:sz w:val="18"/>
                <w:szCs w:val="18"/>
                <w:color w:val="auto"/>
              </w:rPr>
            </w:pPr>
          </w:p>
        </w:tc>
        <w:tc>
          <w:tcPr>
            <w:tcW w:w="1400" w:type="dxa"/>
            <w:vAlign w:val="bottom"/>
            <w:tcBorders>
              <w:bottom w:val="single" w:sz="8" w:color="BFBFBF"/>
            </w:tcBorders>
          </w:tcPr>
          <w:p>
            <w:pPr>
              <w:spacing w:after="0"/>
              <w:rPr>
                <w:sz w:val="18"/>
                <w:szCs w:val="18"/>
                <w:color w:val="auto"/>
              </w:rPr>
            </w:pPr>
          </w:p>
        </w:tc>
        <w:tc>
          <w:tcPr>
            <w:tcW w:w="1600" w:type="dxa"/>
            <w:vAlign w:val="bottom"/>
            <w:tcBorders>
              <w:bottom w:val="single" w:sz="8" w:color="BFBFBF"/>
            </w:tcBorders>
          </w:tcPr>
          <w:p>
            <w:pPr>
              <w:spacing w:after="0"/>
              <w:rPr>
                <w:sz w:val="18"/>
                <w:szCs w:val="18"/>
                <w:color w:val="auto"/>
              </w:rPr>
            </w:pPr>
          </w:p>
        </w:tc>
        <w:tc>
          <w:tcPr>
            <w:tcW w:w="640" w:type="dxa"/>
            <w:vAlign w:val="bottom"/>
            <w:tcBorders>
              <w:bottom w:val="single" w:sz="8" w:color="BFBFBF"/>
            </w:tcBorders>
          </w:tcPr>
          <w:p>
            <w:pPr>
              <w:spacing w:after="0"/>
              <w:rPr>
                <w:sz w:val="18"/>
                <w:szCs w:val="18"/>
                <w:color w:val="auto"/>
              </w:rPr>
            </w:pPr>
          </w:p>
        </w:tc>
        <w:tc>
          <w:tcPr>
            <w:tcW w:w="60" w:type="dxa"/>
            <w:vAlign w:val="bottom"/>
            <w:tcBorders>
              <w:bottom w:val="single" w:sz="8" w:color="BFBFBF"/>
            </w:tcBorders>
          </w:tcPr>
          <w:p>
            <w:pPr>
              <w:spacing w:after="0"/>
              <w:rPr>
                <w:sz w:val="18"/>
                <w:szCs w:val="18"/>
                <w:color w:val="auto"/>
              </w:rPr>
            </w:pPr>
          </w:p>
        </w:tc>
        <w:tc>
          <w:tcPr>
            <w:tcW w:w="880" w:type="dxa"/>
            <w:vAlign w:val="bottom"/>
            <w:tcBorders>
              <w:bottom w:val="single" w:sz="8" w:color="BFBFBF"/>
            </w:tcBorders>
          </w:tcPr>
          <w:p>
            <w:pPr>
              <w:spacing w:after="0"/>
              <w:rPr>
                <w:sz w:val="18"/>
                <w:szCs w:val="18"/>
                <w:color w:val="auto"/>
              </w:rPr>
            </w:pPr>
          </w:p>
        </w:tc>
        <w:tc>
          <w:tcPr>
            <w:tcW w:w="384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918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 Section 302 of the Sarbanes-Oxley Act of 2002 (filed</w:t>
            </w:r>
          </w:p>
        </w:tc>
        <w:tc>
          <w:tcPr>
            <w:tcW w:w="20" w:type="dxa"/>
            <w:vAlign w:val="bottom"/>
          </w:tcPr>
          <w:p>
            <w:pPr>
              <w:spacing w:after="0"/>
              <w:rPr>
                <w:sz w:val="17"/>
                <w:szCs w:val="17"/>
                <w:color w:val="auto"/>
              </w:rPr>
            </w:pPr>
          </w:p>
        </w:tc>
      </w:tr>
      <w:tr>
        <w:trPr>
          <w:trHeight w:val="196"/>
        </w:trPr>
        <w:tc>
          <w:tcPr>
            <w:tcW w:w="2040" w:type="dxa"/>
            <w:vAlign w:val="bottom"/>
          </w:tcPr>
          <w:p>
            <w:pPr>
              <w:spacing w:after="0"/>
              <w:rPr>
                <w:sz w:val="17"/>
                <w:szCs w:val="17"/>
                <w:color w:val="auto"/>
              </w:rPr>
            </w:pPr>
          </w:p>
        </w:tc>
        <w:tc>
          <w:tcPr>
            <w:tcW w:w="9200" w:type="dxa"/>
            <w:vAlign w:val="bottom"/>
            <w:gridSpan w:val="9"/>
          </w:tcPr>
          <w:p>
            <w:pPr>
              <w:spacing w:after="0" w:line="196" w:lineRule="exact"/>
              <w:rPr>
                <w:sz w:val="20"/>
                <w:szCs w:val="20"/>
                <w:color w:val="auto"/>
              </w:rPr>
            </w:pPr>
            <w:r>
              <w:rPr>
                <w:rFonts w:ascii="Arial" w:cs="Arial" w:eastAsia="Arial" w:hAnsi="Arial"/>
                <w:sz w:val="18"/>
                <w:szCs w:val="18"/>
                <w:color w:val="0000FF"/>
              </w:rPr>
              <w:t>herewith)</w:t>
            </w:r>
          </w:p>
        </w:tc>
      </w:tr>
      <w:tr>
        <w:trPr>
          <w:trHeight w:val="209"/>
        </w:trPr>
        <w:tc>
          <w:tcPr>
            <w:tcW w:w="2040" w:type="dxa"/>
            <w:vAlign w:val="bottom"/>
            <w:tcBorders>
              <w:bottom w:val="single" w:sz="8" w:color="BFBFBF"/>
            </w:tcBorders>
          </w:tcPr>
          <w:p>
            <w:pPr>
              <w:spacing w:after="0"/>
              <w:rPr>
                <w:sz w:val="18"/>
                <w:szCs w:val="18"/>
                <w:color w:val="auto"/>
              </w:rPr>
            </w:pPr>
          </w:p>
        </w:tc>
        <w:tc>
          <w:tcPr>
            <w:tcW w:w="740" w:type="dxa"/>
            <w:vAlign w:val="bottom"/>
            <w:tcBorders>
              <w:top w:val="single" w:sz="8" w:color="0000FF"/>
              <w:bottom w:val="single" w:sz="8" w:color="BFBFBF"/>
            </w:tcBorders>
          </w:tcPr>
          <w:p>
            <w:pPr>
              <w:spacing w:after="0"/>
              <w:rPr>
                <w:sz w:val="18"/>
                <w:szCs w:val="18"/>
                <w:color w:val="auto"/>
              </w:rPr>
            </w:pPr>
          </w:p>
        </w:tc>
        <w:tc>
          <w:tcPr>
            <w:tcW w:w="1400" w:type="dxa"/>
            <w:vAlign w:val="bottom"/>
            <w:tcBorders>
              <w:bottom w:val="single" w:sz="8" w:color="BFBFBF"/>
            </w:tcBorders>
          </w:tcPr>
          <w:p>
            <w:pPr>
              <w:spacing w:after="0"/>
              <w:rPr>
                <w:sz w:val="18"/>
                <w:szCs w:val="18"/>
                <w:color w:val="auto"/>
              </w:rPr>
            </w:pPr>
          </w:p>
        </w:tc>
        <w:tc>
          <w:tcPr>
            <w:tcW w:w="1600" w:type="dxa"/>
            <w:vAlign w:val="bottom"/>
            <w:tcBorders>
              <w:bottom w:val="single" w:sz="8" w:color="BFBFBF"/>
            </w:tcBorders>
          </w:tcPr>
          <w:p>
            <w:pPr>
              <w:spacing w:after="0"/>
              <w:rPr>
                <w:sz w:val="18"/>
                <w:szCs w:val="18"/>
                <w:color w:val="auto"/>
              </w:rPr>
            </w:pPr>
          </w:p>
        </w:tc>
        <w:tc>
          <w:tcPr>
            <w:tcW w:w="640" w:type="dxa"/>
            <w:vAlign w:val="bottom"/>
            <w:tcBorders>
              <w:bottom w:val="single" w:sz="8" w:color="BFBFBF"/>
            </w:tcBorders>
          </w:tcPr>
          <w:p>
            <w:pPr>
              <w:spacing w:after="0"/>
              <w:rPr>
                <w:sz w:val="18"/>
                <w:szCs w:val="18"/>
                <w:color w:val="auto"/>
              </w:rPr>
            </w:pPr>
          </w:p>
        </w:tc>
        <w:tc>
          <w:tcPr>
            <w:tcW w:w="60" w:type="dxa"/>
            <w:vAlign w:val="bottom"/>
            <w:tcBorders>
              <w:bottom w:val="single" w:sz="8" w:color="BFBFBF"/>
            </w:tcBorders>
          </w:tcPr>
          <w:p>
            <w:pPr>
              <w:spacing w:after="0"/>
              <w:rPr>
                <w:sz w:val="18"/>
                <w:szCs w:val="18"/>
                <w:color w:val="auto"/>
              </w:rPr>
            </w:pPr>
          </w:p>
        </w:tc>
        <w:tc>
          <w:tcPr>
            <w:tcW w:w="880" w:type="dxa"/>
            <w:vAlign w:val="bottom"/>
            <w:tcBorders>
              <w:bottom w:val="single" w:sz="8" w:color="BFBFBF"/>
            </w:tcBorders>
          </w:tcPr>
          <w:p>
            <w:pPr>
              <w:spacing w:after="0"/>
              <w:rPr>
                <w:sz w:val="18"/>
                <w:szCs w:val="18"/>
                <w:color w:val="auto"/>
              </w:rPr>
            </w:pPr>
          </w:p>
        </w:tc>
        <w:tc>
          <w:tcPr>
            <w:tcW w:w="384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918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9"/>
              </w:rPr>
              <w:t>Certification of Principal Executive Officer Pursuant to 18 U.S.C. Section 1350, as Adopted Pursuant to Section 906</w:t>
            </w:r>
          </w:p>
        </w:tc>
        <w:tc>
          <w:tcPr>
            <w:tcW w:w="20" w:type="dxa"/>
            <w:vAlign w:val="bottom"/>
          </w:tcPr>
          <w:p>
            <w:pPr>
              <w:spacing w:after="0"/>
              <w:rPr>
                <w:sz w:val="17"/>
                <w:szCs w:val="17"/>
                <w:color w:val="auto"/>
              </w:rPr>
            </w:pPr>
          </w:p>
        </w:tc>
      </w:tr>
      <w:tr>
        <w:trPr>
          <w:trHeight w:val="196"/>
        </w:trPr>
        <w:tc>
          <w:tcPr>
            <w:tcW w:w="2040" w:type="dxa"/>
            <w:vAlign w:val="bottom"/>
          </w:tcPr>
          <w:p>
            <w:pPr>
              <w:spacing w:after="0"/>
              <w:rPr>
                <w:sz w:val="17"/>
                <w:szCs w:val="17"/>
                <w:color w:val="auto"/>
              </w:rPr>
            </w:pPr>
          </w:p>
        </w:tc>
        <w:tc>
          <w:tcPr>
            <w:tcW w:w="9200" w:type="dxa"/>
            <w:vAlign w:val="bottom"/>
            <w:gridSpan w:val="9"/>
          </w:tcPr>
          <w:p>
            <w:pPr>
              <w:spacing w:after="0" w:line="196" w:lineRule="exact"/>
              <w:rPr>
                <w:sz w:val="20"/>
                <w:szCs w:val="20"/>
                <w:color w:val="auto"/>
              </w:rPr>
            </w:pPr>
            <w:r>
              <w:rPr>
                <w:rFonts w:ascii="Arial" w:cs="Arial" w:eastAsia="Arial" w:hAnsi="Arial"/>
                <w:sz w:val="18"/>
                <w:szCs w:val="18"/>
                <w:color w:val="0000FF"/>
              </w:rPr>
              <w:t>of the Sarbanes-Oxley Act of 2002 (furnished herewith)</w:t>
            </w:r>
          </w:p>
        </w:tc>
      </w:tr>
      <w:tr>
        <w:trPr>
          <w:trHeight w:val="210"/>
        </w:trPr>
        <w:tc>
          <w:tcPr>
            <w:tcW w:w="2040" w:type="dxa"/>
            <w:vAlign w:val="bottom"/>
            <w:tcBorders>
              <w:bottom w:val="single" w:sz="8" w:color="BFBFBF"/>
            </w:tcBorders>
          </w:tcPr>
          <w:p>
            <w:pPr>
              <w:spacing w:after="0"/>
              <w:rPr>
                <w:sz w:val="18"/>
                <w:szCs w:val="18"/>
                <w:color w:val="auto"/>
              </w:rPr>
            </w:pPr>
          </w:p>
        </w:tc>
        <w:tc>
          <w:tcPr>
            <w:tcW w:w="740" w:type="dxa"/>
            <w:vAlign w:val="bottom"/>
            <w:tcBorders>
              <w:top w:val="single" w:sz="8" w:color="0000FF"/>
              <w:bottom w:val="single" w:sz="8" w:color="BFBFBF"/>
            </w:tcBorders>
          </w:tcPr>
          <w:p>
            <w:pPr>
              <w:spacing w:after="0"/>
              <w:rPr>
                <w:sz w:val="18"/>
                <w:szCs w:val="18"/>
                <w:color w:val="auto"/>
              </w:rPr>
            </w:pPr>
          </w:p>
        </w:tc>
        <w:tc>
          <w:tcPr>
            <w:tcW w:w="1400" w:type="dxa"/>
            <w:vAlign w:val="bottom"/>
            <w:tcBorders>
              <w:top w:val="single" w:sz="8" w:color="0000FF"/>
              <w:bottom w:val="single" w:sz="8" w:color="BFBFBF"/>
            </w:tcBorders>
          </w:tcPr>
          <w:p>
            <w:pPr>
              <w:spacing w:after="0"/>
              <w:rPr>
                <w:sz w:val="18"/>
                <w:szCs w:val="18"/>
                <w:color w:val="auto"/>
              </w:rPr>
            </w:pPr>
          </w:p>
        </w:tc>
        <w:tc>
          <w:tcPr>
            <w:tcW w:w="1600" w:type="dxa"/>
            <w:vAlign w:val="bottom"/>
            <w:tcBorders>
              <w:top w:val="single" w:sz="8" w:color="0000FF"/>
              <w:bottom w:val="single" w:sz="8" w:color="BFBFBF"/>
            </w:tcBorders>
          </w:tcPr>
          <w:p>
            <w:pPr>
              <w:spacing w:after="0"/>
              <w:rPr>
                <w:sz w:val="18"/>
                <w:szCs w:val="18"/>
                <w:color w:val="auto"/>
              </w:rPr>
            </w:pPr>
          </w:p>
        </w:tc>
        <w:tc>
          <w:tcPr>
            <w:tcW w:w="640" w:type="dxa"/>
            <w:vAlign w:val="bottom"/>
            <w:tcBorders>
              <w:top w:val="single" w:sz="8" w:color="0000FF"/>
              <w:bottom w:val="single" w:sz="8" w:color="BFBFBF"/>
            </w:tcBorders>
          </w:tcPr>
          <w:p>
            <w:pPr>
              <w:spacing w:after="0"/>
              <w:rPr>
                <w:sz w:val="18"/>
                <w:szCs w:val="18"/>
                <w:color w:val="auto"/>
              </w:rPr>
            </w:pPr>
          </w:p>
        </w:tc>
        <w:tc>
          <w:tcPr>
            <w:tcW w:w="60" w:type="dxa"/>
            <w:vAlign w:val="bottom"/>
            <w:tcBorders>
              <w:bottom w:val="single" w:sz="8" w:color="BFBFBF"/>
            </w:tcBorders>
          </w:tcPr>
          <w:p>
            <w:pPr>
              <w:spacing w:after="0"/>
              <w:rPr>
                <w:sz w:val="18"/>
                <w:szCs w:val="18"/>
                <w:color w:val="auto"/>
              </w:rPr>
            </w:pPr>
          </w:p>
        </w:tc>
        <w:tc>
          <w:tcPr>
            <w:tcW w:w="880" w:type="dxa"/>
            <w:vAlign w:val="bottom"/>
            <w:tcBorders>
              <w:bottom w:val="single" w:sz="8" w:color="BFBFBF"/>
            </w:tcBorders>
          </w:tcPr>
          <w:p>
            <w:pPr>
              <w:spacing w:after="0"/>
              <w:rPr>
                <w:sz w:val="18"/>
                <w:szCs w:val="18"/>
                <w:color w:val="auto"/>
              </w:rPr>
            </w:pPr>
          </w:p>
        </w:tc>
        <w:tc>
          <w:tcPr>
            <w:tcW w:w="384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196"/>
        </w:trPr>
        <w:tc>
          <w:tcPr>
            <w:tcW w:w="2040" w:type="dxa"/>
            <w:vAlign w:val="bottom"/>
          </w:tcPr>
          <w:p>
            <w:pPr>
              <w:ind w:left="20"/>
              <w:spacing w:after="0" w:line="196" w:lineRule="exact"/>
              <w:rPr>
                <w:sz w:val="20"/>
                <w:szCs w:val="20"/>
                <w:color w:val="auto"/>
              </w:rPr>
            </w:pPr>
            <w:r>
              <w:rPr>
                <w:rFonts w:ascii="Arial" w:cs="Arial" w:eastAsia="Arial" w:hAnsi="Arial"/>
                <w:sz w:val="18"/>
                <w:szCs w:val="18"/>
                <w:color w:val="auto"/>
              </w:rPr>
              <w:t>32.2</w:t>
            </w:r>
          </w:p>
        </w:tc>
        <w:tc>
          <w:tcPr>
            <w:tcW w:w="9200" w:type="dxa"/>
            <w:vAlign w:val="bottom"/>
            <w:gridSpan w:val="9"/>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w:t>
            </w:r>
          </w:p>
        </w:tc>
      </w:tr>
      <w:tr>
        <w:trPr>
          <w:trHeight w:val="196"/>
        </w:trPr>
        <w:tc>
          <w:tcPr>
            <w:tcW w:w="2040" w:type="dxa"/>
            <w:vAlign w:val="bottom"/>
          </w:tcPr>
          <w:p>
            <w:pPr>
              <w:spacing w:after="0"/>
              <w:rPr>
                <w:sz w:val="17"/>
                <w:szCs w:val="17"/>
                <w:color w:val="auto"/>
              </w:rPr>
            </w:pPr>
          </w:p>
        </w:tc>
        <w:tc>
          <w:tcPr>
            <w:tcW w:w="9160" w:type="dxa"/>
            <w:vAlign w:val="bottom"/>
            <w:tcBorders>
              <w:top w:val="single" w:sz="8" w:color="0000FF"/>
            </w:tcBorders>
            <w:gridSpan w:val="7"/>
          </w:tcPr>
          <w:p>
            <w:pPr>
              <w:spacing w:after="0" w:line="196" w:lineRule="exact"/>
              <w:rPr>
                <w:sz w:val="20"/>
                <w:szCs w:val="20"/>
                <w:color w:val="auto"/>
              </w:rPr>
            </w:pPr>
            <w:r>
              <w:rPr>
                <w:rFonts w:ascii="Arial" w:cs="Arial" w:eastAsia="Arial" w:hAnsi="Arial"/>
                <w:sz w:val="18"/>
                <w:szCs w:val="18"/>
                <w:color w:val="0000FF"/>
              </w:rPr>
              <w:t>of the Sarbanes-Oxley Act of 2002 (furnished herewith)</w:t>
            </w:r>
          </w:p>
        </w:tc>
        <w:tc>
          <w:tcPr>
            <w:tcW w:w="40" w:type="dxa"/>
            <w:vAlign w:val="bottom"/>
            <w:gridSpan w:val="2"/>
          </w:tcPr>
          <w:p>
            <w:pPr>
              <w:spacing w:after="0"/>
              <w:rPr>
                <w:sz w:val="17"/>
                <w:szCs w:val="17"/>
                <w:color w:val="auto"/>
              </w:rPr>
            </w:pPr>
          </w:p>
        </w:tc>
      </w:tr>
      <w:tr>
        <w:trPr>
          <w:trHeight w:val="210"/>
        </w:trPr>
        <w:tc>
          <w:tcPr>
            <w:tcW w:w="2040" w:type="dxa"/>
            <w:vAlign w:val="bottom"/>
            <w:tcBorders>
              <w:bottom w:val="single" w:sz="8" w:color="BFBFBF"/>
            </w:tcBorders>
          </w:tcPr>
          <w:p>
            <w:pPr>
              <w:spacing w:after="0"/>
              <w:rPr>
                <w:sz w:val="18"/>
                <w:szCs w:val="18"/>
                <w:color w:val="auto"/>
              </w:rPr>
            </w:pPr>
          </w:p>
        </w:tc>
        <w:tc>
          <w:tcPr>
            <w:tcW w:w="740" w:type="dxa"/>
            <w:vAlign w:val="bottom"/>
            <w:tcBorders>
              <w:top w:val="single" w:sz="8" w:color="0000FF"/>
              <w:bottom w:val="single" w:sz="8" w:color="BFBFBF"/>
            </w:tcBorders>
          </w:tcPr>
          <w:p>
            <w:pPr>
              <w:spacing w:after="0"/>
              <w:rPr>
                <w:sz w:val="18"/>
                <w:szCs w:val="18"/>
                <w:color w:val="auto"/>
              </w:rPr>
            </w:pPr>
          </w:p>
        </w:tc>
        <w:tc>
          <w:tcPr>
            <w:tcW w:w="1400" w:type="dxa"/>
            <w:vAlign w:val="bottom"/>
            <w:tcBorders>
              <w:top w:val="single" w:sz="8" w:color="0000FF"/>
              <w:bottom w:val="single" w:sz="8" w:color="BFBFBF"/>
            </w:tcBorders>
          </w:tcPr>
          <w:p>
            <w:pPr>
              <w:spacing w:after="0"/>
              <w:rPr>
                <w:sz w:val="18"/>
                <w:szCs w:val="18"/>
                <w:color w:val="auto"/>
              </w:rPr>
            </w:pPr>
          </w:p>
        </w:tc>
        <w:tc>
          <w:tcPr>
            <w:tcW w:w="1600" w:type="dxa"/>
            <w:vAlign w:val="bottom"/>
            <w:tcBorders>
              <w:top w:val="single" w:sz="8" w:color="0000FF"/>
              <w:bottom w:val="single" w:sz="8" w:color="BFBFBF"/>
            </w:tcBorders>
          </w:tcPr>
          <w:p>
            <w:pPr>
              <w:spacing w:after="0"/>
              <w:rPr>
                <w:sz w:val="18"/>
                <w:szCs w:val="18"/>
                <w:color w:val="auto"/>
              </w:rPr>
            </w:pPr>
          </w:p>
        </w:tc>
        <w:tc>
          <w:tcPr>
            <w:tcW w:w="640" w:type="dxa"/>
            <w:vAlign w:val="bottom"/>
            <w:tcBorders>
              <w:top w:val="single" w:sz="8" w:color="0000FF"/>
              <w:bottom w:val="single" w:sz="8" w:color="BFBFBF"/>
            </w:tcBorders>
          </w:tcPr>
          <w:p>
            <w:pPr>
              <w:spacing w:after="0"/>
              <w:rPr>
                <w:sz w:val="18"/>
                <w:szCs w:val="18"/>
                <w:color w:val="auto"/>
              </w:rPr>
            </w:pPr>
          </w:p>
        </w:tc>
        <w:tc>
          <w:tcPr>
            <w:tcW w:w="60" w:type="dxa"/>
            <w:vAlign w:val="bottom"/>
            <w:tcBorders>
              <w:bottom w:val="single" w:sz="8" w:color="BFBFBF"/>
            </w:tcBorders>
          </w:tcPr>
          <w:p>
            <w:pPr>
              <w:spacing w:after="0"/>
              <w:rPr>
                <w:sz w:val="18"/>
                <w:szCs w:val="18"/>
                <w:color w:val="auto"/>
              </w:rPr>
            </w:pPr>
          </w:p>
        </w:tc>
        <w:tc>
          <w:tcPr>
            <w:tcW w:w="880" w:type="dxa"/>
            <w:vAlign w:val="bottom"/>
            <w:tcBorders>
              <w:bottom w:val="single" w:sz="8" w:color="BFBFBF"/>
            </w:tcBorders>
          </w:tcPr>
          <w:p>
            <w:pPr>
              <w:spacing w:after="0"/>
              <w:rPr>
                <w:sz w:val="18"/>
                <w:szCs w:val="18"/>
                <w:color w:val="auto"/>
              </w:rPr>
            </w:pPr>
          </w:p>
        </w:tc>
        <w:tc>
          <w:tcPr>
            <w:tcW w:w="384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tcPr>
          <w:p>
            <w:pPr>
              <w:spacing w:after="0"/>
              <w:rPr>
                <w:sz w:val="18"/>
                <w:szCs w:val="18"/>
                <w:color w:val="auto"/>
              </w:rPr>
            </w:pPr>
          </w:p>
        </w:tc>
      </w:tr>
      <w:tr>
        <w:trPr>
          <w:trHeight w:val="218"/>
        </w:trPr>
        <w:tc>
          <w:tcPr>
            <w:tcW w:w="2040" w:type="dxa"/>
            <w:vAlign w:val="bottom"/>
          </w:tcPr>
          <w:p>
            <w:pPr>
              <w:ind w:left="20"/>
              <w:spacing w:after="0"/>
              <w:rPr>
                <w:sz w:val="20"/>
                <w:szCs w:val="20"/>
                <w:color w:val="auto"/>
              </w:rPr>
            </w:pPr>
            <w:r>
              <w:rPr>
                <w:rFonts w:ascii="Arial" w:cs="Arial" w:eastAsia="Arial" w:hAnsi="Arial"/>
                <w:sz w:val="18"/>
                <w:szCs w:val="18"/>
                <w:color w:val="auto"/>
              </w:rPr>
              <w:t>101.INS</w:t>
            </w:r>
          </w:p>
        </w:tc>
        <w:tc>
          <w:tcPr>
            <w:tcW w:w="9200" w:type="dxa"/>
            <w:vAlign w:val="bottom"/>
            <w:gridSpan w:val="9"/>
          </w:tcPr>
          <w:p>
            <w:pPr>
              <w:spacing w:after="0"/>
              <w:rPr>
                <w:sz w:val="20"/>
                <w:szCs w:val="20"/>
                <w:color w:val="auto"/>
              </w:rPr>
            </w:pPr>
            <w:r>
              <w:rPr>
                <w:rFonts w:ascii="Arial" w:cs="Arial" w:eastAsia="Arial" w:hAnsi="Arial"/>
                <w:sz w:val="18"/>
                <w:szCs w:val="18"/>
                <w:color w:val="auto"/>
              </w:rPr>
              <w:t>Inline XBRL Instance Document (the instance document does not appear in the Interactive Data File because its</w:t>
            </w:r>
          </w:p>
        </w:tc>
      </w:tr>
      <w:tr>
        <w:trPr>
          <w:trHeight w:val="239"/>
        </w:trPr>
        <w:tc>
          <w:tcPr>
            <w:tcW w:w="2040" w:type="dxa"/>
            <w:vAlign w:val="bottom"/>
          </w:tcPr>
          <w:p>
            <w:pPr>
              <w:spacing w:after="0"/>
              <w:rPr>
                <w:sz w:val="20"/>
                <w:szCs w:val="20"/>
                <w:color w:val="auto"/>
              </w:rPr>
            </w:pPr>
          </w:p>
        </w:tc>
        <w:tc>
          <w:tcPr>
            <w:tcW w:w="9200" w:type="dxa"/>
            <w:vAlign w:val="bottom"/>
            <w:gridSpan w:val="9"/>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185"/>
        </w:trPr>
        <w:tc>
          <w:tcPr>
            <w:tcW w:w="2040" w:type="dxa"/>
            <w:vAlign w:val="bottom"/>
            <w:tcBorders>
              <w:bottom w:val="single" w:sz="8" w:color="BFBFBF"/>
            </w:tcBorders>
          </w:tcPr>
          <w:p>
            <w:pPr>
              <w:spacing w:after="0"/>
              <w:rPr>
                <w:sz w:val="16"/>
                <w:szCs w:val="16"/>
                <w:color w:val="auto"/>
              </w:rPr>
            </w:pPr>
          </w:p>
        </w:tc>
        <w:tc>
          <w:tcPr>
            <w:tcW w:w="740" w:type="dxa"/>
            <w:vAlign w:val="bottom"/>
            <w:tcBorders>
              <w:bottom w:val="single" w:sz="8" w:color="BFBFBF"/>
            </w:tcBorders>
          </w:tcPr>
          <w:p>
            <w:pPr>
              <w:spacing w:after="0"/>
              <w:rPr>
                <w:sz w:val="16"/>
                <w:szCs w:val="16"/>
                <w:color w:val="auto"/>
              </w:rPr>
            </w:pPr>
          </w:p>
        </w:tc>
        <w:tc>
          <w:tcPr>
            <w:tcW w:w="1400" w:type="dxa"/>
            <w:vAlign w:val="bottom"/>
            <w:tcBorders>
              <w:bottom w:val="single" w:sz="8" w:color="BFBFBF"/>
            </w:tcBorders>
          </w:tcPr>
          <w:p>
            <w:pPr>
              <w:spacing w:after="0"/>
              <w:rPr>
                <w:sz w:val="16"/>
                <w:szCs w:val="16"/>
                <w:color w:val="auto"/>
              </w:rPr>
            </w:pPr>
          </w:p>
        </w:tc>
        <w:tc>
          <w:tcPr>
            <w:tcW w:w="1600" w:type="dxa"/>
            <w:vAlign w:val="bottom"/>
            <w:tcBorders>
              <w:bottom w:val="single" w:sz="8" w:color="BFBFBF"/>
            </w:tcBorders>
          </w:tcPr>
          <w:p>
            <w:pPr>
              <w:spacing w:after="0"/>
              <w:rPr>
                <w:sz w:val="16"/>
                <w:szCs w:val="16"/>
                <w:color w:val="auto"/>
              </w:rPr>
            </w:pPr>
          </w:p>
        </w:tc>
        <w:tc>
          <w:tcPr>
            <w:tcW w:w="640" w:type="dxa"/>
            <w:vAlign w:val="bottom"/>
            <w:tcBorders>
              <w:bottom w:val="single" w:sz="8" w:color="BFBFBF"/>
            </w:tcBorders>
          </w:tcPr>
          <w:p>
            <w:pPr>
              <w:spacing w:after="0"/>
              <w:rPr>
                <w:sz w:val="16"/>
                <w:szCs w:val="16"/>
                <w:color w:val="auto"/>
              </w:rPr>
            </w:pPr>
          </w:p>
        </w:tc>
        <w:tc>
          <w:tcPr>
            <w:tcW w:w="60" w:type="dxa"/>
            <w:vAlign w:val="bottom"/>
            <w:tcBorders>
              <w:bottom w:val="single" w:sz="8" w:color="BFBFBF"/>
            </w:tcBorders>
          </w:tcPr>
          <w:p>
            <w:pPr>
              <w:spacing w:after="0"/>
              <w:rPr>
                <w:sz w:val="16"/>
                <w:szCs w:val="16"/>
                <w:color w:val="auto"/>
              </w:rPr>
            </w:pPr>
          </w:p>
        </w:tc>
        <w:tc>
          <w:tcPr>
            <w:tcW w:w="880" w:type="dxa"/>
            <w:vAlign w:val="bottom"/>
            <w:tcBorders>
              <w:bottom w:val="single" w:sz="8" w:color="BFBFBF"/>
            </w:tcBorders>
          </w:tcPr>
          <w:p>
            <w:pPr>
              <w:spacing w:after="0"/>
              <w:rPr>
                <w:sz w:val="16"/>
                <w:szCs w:val="16"/>
                <w:color w:val="auto"/>
              </w:rPr>
            </w:pPr>
          </w:p>
        </w:tc>
        <w:tc>
          <w:tcPr>
            <w:tcW w:w="3840" w:type="dxa"/>
            <w:vAlign w:val="bottom"/>
            <w:tcBorders>
              <w:bottom w:val="single" w:sz="8" w:color="BFBFBF"/>
            </w:tcBorders>
          </w:tcPr>
          <w:p>
            <w:pPr>
              <w:spacing w:after="0"/>
              <w:rPr>
                <w:sz w:val="16"/>
                <w:szCs w:val="16"/>
                <w:color w:val="auto"/>
              </w:rPr>
            </w:pPr>
          </w:p>
        </w:tc>
        <w:tc>
          <w:tcPr>
            <w:tcW w:w="20" w:type="dxa"/>
            <w:vAlign w:val="bottom"/>
            <w:tcBorders>
              <w:bottom w:val="single" w:sz="8" w:color="BFBFBF"/>
            </w:tcBorders>
          </w:tcPr>
          <w:p>
            <w:pPr>
              <w:spacing w:after="0"/>
              <w:rPr>
                <w:sz w:val="16"/>
                <w:szCs w:val="16"/>
                <w:color w:val="auto"/>
              </w:rPr>
            </w:pPr>
          </w:p>
        </w:tc>
        <w:tc>
          <w:tcPr>
            <w:tcW w:w="20" w:type="dxa"/>
            <w:vAlign w:val="bottom"/>
            <w:tcBorders>
              <w:bottom w:val="single" w:sz="8" w:color="BFBFBF"/>
            </w:tcBorders>
          </w:tcPr>
          <w:p>
            <w:pPr>
              <w:spacing w:after="0"/>
              <w:rPr>
                <w:sz w:val="16"/>
                <w:szCs w:val="16"/>
                <w:color w:val="auto"/>
              </w:rPr>
            </w:pPr>
          </w:p>
        </w:tc>
      </w:tr>
      <w:tr>
        <w:trPr>
          <w:trHeight w:val="240"/>
        </w:trPr>
        <w:tc>
          <w:tcPr>
            <w:tcW w:w="2040" w:type="dxa"/>
            <w:vAlign w:val="bottom"/>
          </w:tcPr>
          <w:p>
            <w:pPr>
              <w:ind w:left="20"/>
              <w:spacing w:after="0"/>
              <w:rPr>
                <w:sz w:val="20"/>
                <w:szCs w:val="20"/>
                <w:color w:val="auto"/>
              </w:rPr>
            </w:pPr>
            <w:r>
              <w:rPr>
                <w:rFonts w:ascii="Arial" w:cs="Arial" w:eastAsia="Arial" w:hAnsi="Arial"/>
                <w:sz w:val="18"/>
                <w:szCs w:val="18"/>
                <w:color w:val="auto"/>
              </w:rPr>
              <w:t>101.SCH</w:t>
            </w:r>
          </w:p>
        </w:tc>
        <w:tc>
          <w:tcPr>
            <w:tcW w:w="92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(filed herewith)</w:t>
            </w:r>
          </w:p>
        </w:tc>
      </w:tr>
      <w:tr>
        <w:trPr>
          <w:trHeight w:val="185"/>
        </w:trPr>
        <w:tc>
          <w:tcPr>
            <w:tcW w:w="2040" w:type="dxa"/>
            <w:vAlign w:val="bottom"/>
            <w:tcBorders>
              <w:bottom w:val="single" w:sz="8" w:color="BFBFBF"/>
            </w:tcBorders>
          </w:tcPr>
          <w:p>
            <w:pPr>
              <w:spacing w:after="0"/>
              <w:rPr>
                <w:sz w:val="16"/>
                <w:szCs w:val="16"/>
                <w:color w:val="auto"/>
              </w:rPr>
            </w:pPr>
          </w:p>
        </w:tc>
        <w:tc>
          <w:tcPr>
            <w:tcW w:w="740" w:type="dxa"/>
            <w:vAlign w:val="bottom"/>
            <w:tcBorders>
              <w:bottom w:val="single" w:sz="8" w:color="BFBFBF"/>
            </w:tcBorders>
          </w:tcPr>
          <w:p>
            <w:pPr>
              <w:spacing w:after="0"/>
              <w:rPr>
                <w:sz w:val="16"/>
                <w:szCs w:val="16"/>
                <w:color w:val="auto"/>
              </w:rPr>
            </w:pPr>
          </w:p>
        </w:tc>
        <w:tc>
          <w:tcPr>
            <w:tcW w:w="1400" w:type="dxa"/>
            <w:vAlign w:val="bottom"/>
            <w:tcBorders>
              <w:bottom w:val="single" w:sz="8" w:color="BFBFBF"/>
            </w:tcBorders>
          </w:tcPr>
          <w:p>
            <w:pPr>
              <w:spacing w:after="0"/>
              <w:rPr>
                <w:sz w:val="16"/>
                <w:szCs w:val="16"/>
                <w:color w:val="auto"/>
              </w:rPr>
            </w:pPr>
          </w:p>
        </w:tc>
        <w:tc>
          <w:tcPr>
            <w:tcW w:w="1600" w:type="dxa"/>
            <w:vAlign w:val="bottom"/>
            <w:tcBorders>
              <w:bottom w:val="single" w:sz="8" w:color="BFBFBF"/>
            </w:tcBorders>
          </w:tcPr>
          <w:p>
            <w:pPr>
              <w:spacing w:after="0"/>
              <w:rPr>
                <w:sz w:val="16"/>
                <w:szCs w:val="16"/>
                <w:color w:val="auto"/>
              </w:rPr>
            </w:pPr>
          </w:p>
        </w:tc>
        <w:tc>
          <w:tcPr>
            <w:tcW w:w="640" w:type="dxa"/>
            <w:vAlign w:val="bottom"/>
            <w:tcBorders>
              <w:bottom w:val="single" w:sz="8" w:color="BFBFBF"/>
            </w:tcBorders>
          </w:tcPr>
          <w:p>
            <w:pPr>
              <w:spacing w:after="0"/>
              <w:rPr>
                <w:sz w:val="16"/>
                <w:szCs w:val="16"/>
                <w:color w:val="auto"/>
              </w:rPr>
            </w:pPr>
          </w:p>
        </w:tc>
        <w:tc>
          <w:tcPr>
            <w:tcW w:w="60" w:type="dxa"/>
            <w:vAlign w:val="bottom"/>
            <w:tcBorders>
              <w:bottom w:val="single" w:sz="8" w:color="BFBFBF"/>
            </w:tcBorders>
          </w:tcPr>
          <w:p>
            <w:pPr>
              <w:spacing w:after="0"/>
              <w:rPr>
                <w:sz w:val="16"/>
                <w:szCs w:val="16"/>
                <w:color w:val="auto"/>
              </w:rPr>
            </w:pPr>
          </w:p>
        </w:tc>
        <w:tc>
          <w:tcPr>
            <w:tcW w:w="880" w:type="dxa"/>
            <w:vAlign w:val="bottom"/>
            <w:tcBorders>
              <w:bottom w:val="single" w:sz="8" w:color="BFBFBF"/>
            </w:tcBorders>
          </w:tcPr>
          <w:p>
            <w:pPr>
              <w:spacing w:after="0"/>
              <w:rPr>
                <w:sz w:val="16"/>
                <w:szCs w:val="16"/>
                <w:color w:val="auto"/>
              </w:rPr>
            </w:pPr>
          </w:p>
        </w:tc>
        <w:tc>
          <w:tcPr>
            <w:tcW w:w="3840" w:type="dxa"/>
            <w:vAlign w:val="bottom"/>
            <w:tcBorders>
              <w:bottom w:val="single" w:sz="8" w:color="BFBFBF"/>
            </w:tcBorders>
          </w:tcPr>
          <w:p>
            <w:pPr>
              <w:spacing w:after="0"/>
              <w:rPr>
                <w:sz w:val="16"/>
                <w:szCs w:val="16"/>
                <w:color w:val="auto"/>
              </w:rPr>
            </w:pPr>
          </w:p>
        </w:tc>
        <w:tc>
          <w:tcPr>
            <w:tcW w:w="20" w:type="dxa"/>
            <w:vAlign w:val="bottom"/>
            <w:tcBorders>
              <w:bottom w:val="single" w:sz="8" w:color="BFBFBF"/>
            </w:tcBorders>
          </w:tcPr>
          <w:p>
            <w:pPr>
              <w:spacing w:after="0"/>
              <w:rPr>
                <w:sz w:val="16"/>
                <w:szCs w:val="16"/>
                <w:color w:val="auto"/>
              </w:rPr>
            </w:pPr>
          </w:p>
        </w:tc>
        <w:tc>
          <w:tcPr>
            <w:tcW w:w="20" w:type="dxa"/>
            <w:vAlign w:val="bottom"/>
            <w:tcBorders>
              <w:bottom w:val="single" w:sz="8" w:color="BFBFBF"/>
            </w:tcBorders>
          </w:tcPr>
          <w:p>
            <w:pPr>
              <w:spacing w:after="0"/>
              <w:rPr>
                <w:sz w:val="16"/>
                <w:szCs w:val="16"/>
                <w:color w:val="auto"/>
              </w:rPr>
            </w:pPr>
          </w:p>
        </w:tc>
      </w:tr>
      <w:tr>
        <w:trPr>
          <w:trHeight w:val="240"/>
        </w:trPr>
        <w:tc>
          <w:tcPr>
            <w:tcW w:w="2040" w:type="dxa"/>
            <w:vAlign w:val="bottom"/>
          </w:tcPr>
          <w:p>
            <w:pPr>
              <w:ind w:left="20"/>
              <w:spacing w:after="0"/>
              <w:rPr>
                <w:sz w:val="20"/>
                <w:szCs w:val="20"/>
                <w:color w:val="auto"/>
              </w:rPr>
            </w:pPr>
            <w:r>
              <w:rPr>
                <w:rFonts w:ascii="Arial" w:cs="Arial" w:eastAsia="Arial" w:hAnsi="Arial"/>
                <w:sz w:val="18"/>
                <w:szCs w:val="18"/>
                <w:color w:val="auto"/>
              </w:rPr>
              <w:t>101.CAL</w:t>
            </w:r>
          </w:p>
        </w:tc>
        <w:tc>
          <w:tcPr>
            <w:tcW w:w="920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(filed herewith)</w:t>
            </w:r>
          </w:p>
        </w:tc>
      </w:tr>
      <w:tr>
        <w:trPr>
          <w:trHeight w:val="185"/>
        </w:trPr>
        <w:tc>
          <w:tcPr>
            <w:tcW w:w="2040" w:type="dxa"/>
            <w:vAlign w:val="bottom"/>
            <w:tcBorders>
              <w:bottom w:val="single" w:sz="8" w:color="BFBFBF"/>
            </w:tcBorders>
          </w:tcPr>
          <w:p>
            <w:pPr>
              <w:spacing w:after="0"/>
              <w:rPr>
                <w:sz w:val="16"/>
                <w:szCs w:val="16"/>
                <w:color w:val="auto"/>
              </w:rPr>
            </w:pPr>
          </w:p>
        </w:tc>
        <w:tc>
          <w:tcPr>
            <w:tcW w:w="740" w:type="dxa"/>
            <w:vAlign w:val="bottom"/>
            <w:tcBorders>
              <w:bottom w:val="single" w:sz="8" w:color="BFBFBF"/>
            </w:tcBorders>
          </w:tcPr>
          <w:p>
            <w:pPr>
              <w:spacing w:after="0"/>
              <w:rPr>
                <w:sz w:val="16"/>
                <w:szCs w:val="16"/>
                <w:color w:val="auto"/>
              </w:rPr>
            </w:pPr>
          </w:p>
        </w:tc>
        <w:tc>
          <w:tcPr>
            <w:tcW w:w="1400" w:type="dxa"/>
            <w:vAlign w:val="bottom"/>
            <w:tcBorders>
              <w:bottom w:val="single" w:sz="8" w:color="BFBFBF"/>
            </w:tcBorders>
          </w:tcPr>
          <w:p>
            <w:pPr>
              <w:spacing w:after="0"/>
              <w:rPr>
                <w:sz w:val="16"/>
                <w:szCs w:val="16"/>
                <w:color w:val="auto"/>
              </w:rPr>
            </w:pPr>
          </w:p>
        </w:tc>
        <w:tc>
          <w:tcPr>
            <w:tcW w:w="1600" w:type="dxa"/>
            <w:vAlign w:val="bottom"/>
            <w:tcBorders>
              <w:bottom w:val="single" w:sz="8" w:color="BFBFBF"/>
            </w:tcBorders>
          </w:tcPr>
          <w:p>
            <w:pPr>
              <w:spacing w:after="0"/>
              <w:rPr>
                <w:sz w:val="16"/>
                <w:szCs w:val="16"/>
                <w:color w:val="auto"/>
              </w:rPr>
            </w:pPr>
          </w:p>
        </w:tc>
        <w:tc>
          <w:tcPr>
            <w:tcW w:w="640" w:type="dxa"/>
            <w:vAlign w:val="bottom"/>
            <w:tcBorders>
              <w:bottom w:val="single" w:sz="8" w:color="BFBFBF"/>
            </w:tcBorders>
          </w:tcPr>
          <w:p>
            <w:pPr>
              <w:spacing w:after="0"/>
              <w:rPr>
                <w:sz w:val="16"/>
                <w:szCs w:val="16"/>
                <w:color w:val="auto"/>
              </w:rPr>
            </w:pPr>
          </w:p>
        </w:tc>
        <w:tc>
          <w:tcPr>
            <w:tcW w:w="60" w:type="dxa"/>
            <w:vAlign w:val="bottom"/>
            <w:tcBorders>
              <w:bottom w:val="single" w:sz="8" w:color="BFBFBF"/>
            </w:tcBorders>
          </w:tcPr>
          <w:p>
            <w:pPr>
              <w:spacing w:after="0"/>
              <w:rPr>
                <w:sz w:val="16"/>
                <w:szCs w:val="16"/>
                <w:color w:val="auto"/>
              </w:rPr>
            </w:pPr>
          </w:p>
        </w:tc>
        <w:tc>
          <w:tcPr>
            <w:tcW w:w="880" w:type="dxa"/>
            <w:vAlign w:val="bottom"/>
            <w:tcBorders>
              <w:bottom w:val="single" w:sz="8" w:color="BFBFBF"/>
            </w:tcBorders>
          </w:tcPr>
          <w:p>
            <w:pPr>
              <w:spacing w:after="0"/>
              <w:rPr>
                <w:sz w:val="16"/>
                <w:szCs w:val="16"/>
                <w:color w:val="auto"/>
              </w:rPr>
            </w:pPr>
          </w:p>
        </w:tc>
        <w:tc>
          <w:tcPr>
            <w:tcW w:w="3840" w:type="dxa"/>
            <w:vAlign w:val="bottom"/>
            <w:tcBorders>
              <w:bottom w:val="single" w:sz="8" w:color="BFBFBF"/>
            </w:tcBorders>
          </w:tcPr>
          <w:p>
            <w:pPr>
              <w:spacing w:after="0"/>
              <w:rPr>
                <w:sz w:val="16"/>
                <w:szCs w:val="16"/>
                <w:color w:val="auto"/>
              </w:rPr>
            </w:pPr>
          </w:p>
        </w:tc>
        <w:tc>
          <w:tcPr>
            <w:tcW w:w="20" w:type="dxa"/>
            <w:vAlign w:val="bottom"/>
            <w:tcBorders>
              <w:bottom w:val="single" w:sz="8" w:color="BFBFBF"/>
            </w:tcBorders>
          </w:tcPr>
          <w:p>
            <w:pPr>
              <w:spacing w:after="0"/>
              <w:rPr>
                <w:sz w:val="16"/>
                <w:szCs w:val="16"/>
                <w:color w:val="auto"/>
              </w:rPr>
            </w:pPr>
          </w:p>
        </w:tc>
        <w:tc>
          <w:tcPr>
            <w:tcW w:w="20" w:type="dxa"/>
            <w:vAlign w:val="bottom"/>
            <w:tcBorders>
              <w:bottom w:val="single" w:sz="8" w:color="BFBFBF"/>
            </w:tcBorders>
          </w:tcPr>
          <w:p>
            <w:pPr>
              <w:spacing w:after="0"/>
              <w:rPr>
                <w:sz w:val="16"/>
                <w:szCs w:val="16"/>
                <w:color w:val="auto"/>
              </w:rPr>
            </w:pPr>
          </w:p>
        </w:tc>
      </w:tr>
      <w:tr>
        <w:trPr>
          <w:trHeight w:val="240"/>
        </w:trPr>
        <w:tc>
          <w:tcPr>
            <w:tcW w:w="2040" w:type="dxa"/>
            <w:vAlign w:val="bottom"/>
          </w:tcPr>
          <w:p>
            <w:pPr>
              <w:ind w:left="20"/>
              <w:spacing w:after="0"/>
              <w:rPr>
                <w:sz w:val="20"/>
                <w:szCs w:val="20"/>
                <w:color w:val="auto"/>
              </w:rPr>
            </w:pPr>
            <w:r>
              <w:rPr>
                <w:rFonts w:ascii="Arial" w:cs="Arial" w:eastAsia="Arial" w:hAnsi="Arial"/>
                <w:sz w:val="18"/>
                <w:szCs w:val="18"/>
                <w:color w:val="auto"/>
              </w:rPr>
              <w:t>101.DEF</w:t>
            </w:r>
          </w:p>
        </w:tc>
        <w:tc>
          <w:tcPr>
            <w:tcW w:w="920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(filed herewith)</w:t>
            </w:r>
          </w:p>
        </w:tc>
      </w:tr>
      <w:tr>
        <w:trPr>
          <w:trHeight w:val="185"/>
        </w:trPr>
        <w:tc>
          <w:tcPr>
            <w:tcW w:w="2040" w:type="dxa"/>
            <w:vAlign w:val="bottom"/>
            <w:tcBorders>
              <w:bottom w:val="single" w:sz="8" w:color="BFBFBF"/>
            </w:tcBorders>
          </w:tcPr>
          <w:p>
            <w:pPr>
              <w:spacing w:after="0"/>
              <w:rPr>
                <w:sz w:val="16"/>
                <w:szCs w:val="16"/>
                <w:color w:val="auto"/>
              </w:rPr>
            </w:pPr>
          </w:p>
        </w:tc>
        <w:tc>
          <w:tcPr>
            <w:tcW w:w="740" w:type="dxa"/>
            <w:vAlign w:val="bottom"/>
            <w:tcBorders>
              <w:bottom w:val="single" w:sz="8" w:color="BFBFBF"/>
            </w:tcBorders>
          </w:tcPr>
          <w:p>
            <w:pPr>
              <w:spacing w:after="0"/>
              <w:rPr>
                <w:sz w:val="16"/>
                <w:szCs w:val="16"/>
                <w:color w:val="auto"/>
              </w:rPr>
            </w:pPr>
          </w:p>
        </w:tc>
        <w:tc>
          <w:tcPr>
            <w:tcW w:w="1400" w:type="dxa"/>
            <w:vAlign w:val="bottom"/>
            <w:tcBorders>
              <w:bottom w:val="single" w:sz="8" w:color="BFBFBF"/>
            </w:tcBorders>
          </w:tcPr>
          <w:p>
            <w:pPr>
              <w:spacing w:after="0"/>
              <w:rPr>
                <w:sz w:val="16"/>
                <w:szCs w:val="16"/>
                <w:color w:val="auto"/>
              </w:rPr>
            </w:pPr>
          </w:p>
        </w:tc>
        <w:tc>
          <w:tcPr>
            <w:tcW w:w="1600" w:type="dxa"/>
            <w:vAlign w:val="bottom"/>
            <w:tcBorders>
              <w:bottom w:val="single" w:sz="8" w:color="BFBFBF"/>
            </w:tcBorders>
          </w:tcPr>
          <w:p>
            <w:pPr>
              <w:spacing w:after="0"/>
              <w:rPr>
                <w:sz w:val="16"/>
                <w:szCs w:val="16"/>
                <w:color w:val="auto"/>
              </w:rPr>
            </w:pPr>
          </w:p>
        </w:tc>
        <w:tc>
          <w:tcPr>
            <w:tcW w:w="640" w:type="dxa"/>
            <w:vAlign w:val="bottom"/>
            <w:tcBorders>
              <w:bottom w:val="single" w:sz="8" w:color="BFBFBF"/>
            </w:tcBorders>
          </w:tcPr>
          <w:p>
            <w:pPr>
              <w:spacing w:after="0"/>
              <w:rPr>
                <w:sz w:val="16"/>
                <w:szCs w:val="16"/>
                <w:color w:val="auto"/>
              </w:rPr>
            </w:pPr>
          </w:p>
        </w:tc>
        <w:tc>
          <w:tcPr>
            <w:tcW w:w="60" w:type="dxa"/>
            <w:vAlign w:val="bottom"/>
            <w:tcBorders>
              <w:bottom w:val="single" w:sz="8" w:color="BFBFBF"/>
            </w:tcBorders>
          </w:tcPr>
          <w:p>
            <w:pPr>
              <w:spacing w:after="0"/>
              <w:rPr>
                <w:sz w:val="16"/>
                <w:szCs w:val="16"/>
                <w:color w:val="auto"/>
              </w:rPr>
            </w:pPr>
          </w:p>
        </w:tc>
        <w:tc>
          <w:tcPr>
            <w:tcW w:w="880" w:type="dxa"/>
            <w:vAlign w:val="bottom"/>
            <w:tcBorders>
              <w:bottom w:val="single" w:sz="8" w:color="BFBFBF"/>
            </w:tcBorders>
          </w:tcPr>
          <w:p>
            <w:pPr>
              <w:spacing w:after="0"/>
              <w:rPr>
                <w:sz w:val="16"/>
                <w:szCs w:val="16"/>
                <w:color w:val="auto"/>
              </w:rPr>
            </w:pPr>
          </w:p>
        </w:tc>
        <w:tc>
          <w:tcPr>
            <w:tcW w:w="3840" w:type="dxa"/>
            <w:vAlign w:val="bottom"/>
            <w:tcBorders>
              <w:bottom w:val="single" w:sz="8" w:color="BFBFBF"/>
            </w:tcBorders>
          </w:tcPr>
          <w:p>
            <w:pPr>
              <w:spacing w:after="0"/>
              <w:rPr>
                <w:sz w:val="16"/>
                <w:szCs w:val="16"/>
                <w:color w:val="auto"/>
              </w:rPr>
            </w:pPr>
          </w:p>
        </w:tc>
        <w:tc>
          <w:tcPr>
            <w:tcW w:w="20" w:type="dxa"/>
            <w:vAlign w:val="bottom"/>
            <w:tcBorders>
              <w:bottom w:val="single" w:sz="8" w:color="BFBFBF"/>
            </w:tcBorders>
          </w:tcPr>
          <w:p>
            <w:pPr>
              <w:spacing w:after="0"/>
              <w:rPr>
                <w:sz w:val="16"/>
                <w:szCs w:val="16"/>
                <w:color w:val="auto"/>
              </w:rPr>
            </w:pPr>
          </w:p>
        </w:tc>
        <w:tc>
          <w:tcPr>
            <w:tcW w:w="20" w:type="dxa"/>
            <w:vAlign w:val="bottom"/>
            <w:tcBorders>
              <w:bottom w:val="single" w:sz="8" w:color="BFBFBF"/>
            </w:tcBorders>
          </w:tcPr>
          <w:p>
            <w:pPr>
              <w:spacing w:after="0"/>
              <w:rPr>
                <w:sz w:val="16"/>
                <w:szCs w:val="16"/>
                <w:color w:val="auto"/>
              </w:rPr>
            </w:pPr>
          </w:p>
        </w:tc>
      </w:tr>
      <w:tr>
        <w:trPr>
          <w:trHeight w:val="240"/>
        </w:trPr>
        <w:tc>
          <w:tcPr>
            <w:tcW w:w="2040" w:type="dxa"/>
            <w:vAlign w:val="bottom"/>
          </w:tcPr>
          <w:p>
            <w:pPr>
              <w:ind w:left="20"/>
              <w:spacing w:after="0"/>
              <w:rPr>
                <w:sz w:val="20"/>
                <w:szCs w:val="20"/>
                <w:color w:val="auto"/>
              </w:rPr>
            </w:pPr>
            <w:r>
              <w:rPr>
                <w:rFonts w:ascii="Arial" w:cs="Arial" w:eastAsia="Arial" w:hAnsi="Arial"/>
                <w:sz w:val="18"/>
                <w:szCs w:val="18"/>
                <w:color w:val="auto"/>
              </w:rPr>
              <w:t>101.LAB</w:t>
            </w:r>
          </w:p>
        </w:tc>
        <w:tc>
          <w:tcPr>
            <w:tcW w:w="920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(filed herewith)</w:t>
            </w:r>
          </w:p>
        </w:tc>
      </w:tr>
      <w:tr>
        <w:trPr>
          <w:trHeight w:val="185"/>
        </w:trPr>
        <w:tc>
          <w:tcPr>
            <w:tcW w:w="2040" w:type="dxa"/>
            <w:vAlign w:val="bottom"/>
            <w:tcBorders>
              <w:bottom w:val="single" w:sz="8" w:color="BFBFBF"/>
            </w:tcBorders>
          </w:tcPr>
          <w:p>
            <w:pPr>
              <w:spacing w:after="0"/>
              <w:rPr>
                <w:sz w:val="16"/>
                <w:szCs w:val="16"/>
                <w:color w:val="auto"/>
              </w:rPr>
            </w:pPr>
          </w:p>
        </w:tc>
        <w:tc>
          <w:tcPr>
            <w:tcW w:w="740" w:type="dxa"/>
            <w:vAlign w:val="bottom"/>
            <w:tcBorders>
              <w:bottom w:val="single" w:sz="8" w:color="BFBFBF"/>
            </w:tcBorders>
          </w:tcPr>
          <w:p>
            <w:pPr>
              <w:spacing w:after="0"/>
              <w:rPr>
                <w:sz w:val="16"/>
                <w:szCs w:val="16"/>
                <w:color w:val="auto"/>
              </w:rPr>
            </w:pPr>
          </w:p>
        </w:tc>
        <w:tc>
          <w:tcPr>
            <w:tcW w:w="1400" w:type="dxa"/>
            <w:vAlign w:val="bottom"/>
            <w:tcBorders>
              <w:bottom w:val="single" w:sz="8" w:color="BFBFBF"/>
            </w:tcBorders>
          </w:tcPr>
          <w:p>
            <w:pPr>
              <w:spacing w:after="0"/>
              <w:rPr>
                <w:sz w:val="16"/>
                <w:szCs w:val="16"/>
                <w:color w:val="auto"/>
              </w:rPr>
            </w:pPr>
          </w:p>
        </w:tc>
        <w:tc>
          <w:tcPr>
            <w:tcW w:w="1600" w:type="dxa"/>
            <w:vAlign w:val="bottom"/>
            <w:tcBorders>
              <w:bottom w:val="single" w:sz="8" w:color="BFBFBF"/>
            </w:tcBorders>
          </w:tcPr>
          <w:p>
            <w:pPr>
              <w:spacing w:after="0"/>
              <w:rPr>
                <w:sz w:val="16"/>
                <w:szCs w:val="16"/>
                <w:color w:val="auto"/>
              </w:rPr>
            </w:pPr>
          </w:p>
        </w:tc>
        <w:tc>
          <w:tcPr>
            <w:tcW w:w="640" w:type="dxa"/>
            <w:vAlign w:val="bottom"/>
            <w:tcBorders>
              <w:bottom w:val="single" w:sz="8" w:color="BFBFBF"/>
            </w:tcBorders>
          </w:tcPr>
          <w:p>
            <w:pPr>
              <w:spacing w:after="0"/>
              <w:rPr>
                <w:sz w:val="16"/>
                <w:szCs w:val="16"/>
                <w:color w:val="auto"/>
              </w:rPr>
            </w:pPr>
          </w:p>
        </w:tc>
        <w:tc>
          <w:tcPr>
            <w:tcW w:w="60" w:type="dxa"/>
            <w:vAlign w:val="bottom"/>
            <w:tcBorders>
              <w:bottom w:val="single" w:sz="8" w:color="BFBFBF"/>
            </w:tcBorders>
          </w:tcPr>
          <w:p>
            <w:pPr>
              <w:spacing w:after="0"/>
              <w:rPr>
                <w:sz w:val="16"/>
                <w:szCs w:val="16"/>
                <w:color w:val="auto"/>
              </w:rPr>
            </w:pPr>
          </w:p>
        </w:tc>
        <w:tc>
          <w:tcPr>
            <w:tcW w:w="880" w:type="dxa"/>
            <w:vAlign w:val="bottom"/>
            <w:tcBorders>
              <w:bottom w:val="single" w:sz="8" w:color="BFBFBF"/>
            </w:tcBorders>
          </w:tcPr>
          <w:p>
            <w:pPr>
              <w:spacing w:after="0"/>
              <w:rPr>
                <w:sz w:val="16"/>
                <w:szCs w:val="16"/>
                <w:color w:val="auto"/>
              </w:rPr>
            </w:pPr>
          </w:p>
        </w:tc>
        <w:tc>
          <w:tcPr>
            <w:tcW w:w="3840" w:type="dxa"/>
            <w:vAlign w:val="bottom"/>
            <w:tcBorders>
              <w:bottom w:val="single" w:sz="8" w:color="BFBFBF"/>
            </w:tcBorders>
          </w:tcPr>
          <w:p>
            <w:pPr>
              <w:spacing w:after="0"/>
              <w:rPr>
                <w:sz w:val="16"/>
                <w:szCs w:val="16"/>
                <w:color w:val="auto"/>
              </w:rPr>
            </w:pPr>
          </w:p>
        </w:tc>
        <w:tc>
          <w:tcPr>
            <w:tcW w:w="20" w:type="dxa"/>
            <w:vAlign w:val="bottom"/>
            <w:tcBorders>
              <w:bottom w:val="single" w:sz="8" w:color="BFBFBF"/>
            </w:tcBorders>
          </w:tcPr>
          <w:p>
            <w:pPr>
              <w:spacing w:after="0"/>
              <w:rPr>
                <w:sz w:val="16"/>
                <w:szCs w:val="16"/>
                <w:color w:val="auto"/>
              </w:rPr>
            </w:pPr>
          </w:p>
        </w:tc>
        <w:tc>
          <w:tcPr>
            <w:tcW w:w="20" w:type="dxa"/>
            <w:vAlign w:val="bottom"/>
            <w:tcBorders>
              <w:bottom w:val="single" w:sz="8" w:color="BFBFBF"/>
            </w:tcBorders>
          </w:tcPr>
          <w:p>
            <w:pPr>
              <w:spacing w:after="0"/>
              <w:rPr>
                <w:sz w:val="16"/>
                <w:szCs w:val="16"/>
                <w:color w:val="auto"/>
              </w:rPr>
            </w:pPr>
          </w:p>
        </w:tc>
      </w:tr>
      <w:tr>
        <w:trPr>
          <w:trHeight w:val="240"/>
        </w:trPr>
        <w:tc>
          <w:tcPr>
            <w:tcW w:w="2040" w:type="dxa"/>
            <w:vAlign w:val="bottom"/>
          </w:tcPr>
          <w:p>
            <w:pPr>
              <w:ind w:left="20"/>
              <w:spacing w:after="0"/>
              <w:rPr>
                <w:sz w:val="20"/>
                <w:szCs w:val="20"/>
                <w:color w:val="auto"/>
              </w:rPr>
            </w:pPr>
            <w:r>
              <w:rPr>
                <w:rFonts w:ascii="Arial" w:cs="Arial" w:eastAsia="Arial" w:hAnsi="Arial"/>
                <w:sz w:val="18"/>
                <w:szCs w:val="18"/>
                <w:color w:val="auto"/>
              </w:rPr>
              <w:t>101.PRE</w:t>
            </w:r>
          </w:p>
        </w:tc>
        <w:tc>
          <w:tcPr>
            <w:tcW w:w="920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(filed herewith)</w:t>
            </w:r>
          </w:p>
        </w:tc>
      </w:tr>
      <w:tr>
        <w:trPr>
          <w:trHeight w:val="185"/>
        </w:trPr>
        <w:tc>
          <w:tcPr>
            <w:tcW w:w="2040" w:type="dxa"/>
            <w:vAlign w:val="bottom"/>
            <w:tcBorders>
              <w:bottom w:val="single" w:sz="8" w:color="BFBFBF"/>
            </w:tcBorders>
          </w:tcPr>
          <w:p>
            <w:pPr>
              <w:spacing w:after="0"/>
              <w:rPr>
                <w:sz w:val="16"/>
                <w:szCs w:val="16"/>
                <w:color w:val="auto"/>
              </w:rPr>
            </w:pPr>
          </w:p>
        </w:tc>
        <w:tc>
          <w:tcPr>
            <w:tcW w:w="740" w:type="dxa"/>
            <w:vAlign w:val="bottom"/>
            <w:tcBorders>
              <w:bottom w:val="single" w:sz="8" w:color="BFBFBF"/>
            </w:tcBorders>
          </w:tcPr>
          <w:p>
            <w:pPr>
              <w:spacing w:after="0"/>
              <w:rPr>
                <w:sz w:val="16"/>
                <w:szCs w:val="16"/>
                <w:color w:val="auto"/>
              </w:rPr>
            </w:pPr>
          </w:p>
        </w:tc>
        <w:tc>
          <w:tcPr>
            <w:tcW w:w="1400" w:type="dxa"/>
            <w:vAlign w:val="bottom"/>
            <w:tcBorders>
              <w:bottom w:val="single" w:sz="8" w:color="BFBFBF"/>
            </w:tcBorders>
          </w:tcPr>
          <w:p>
            <w:pPr>
              <w:spacing w:after="0"/>
              <w:rPr>
                <w:sz w:val="16"/>
                <w:szCs w:val="16"/>
                <w:color w:val="auto"/>
              </w:rPr>
            </w:pPr>
          </w:p>
        </w:tc>
        <w:tc>
          <w:tcPr>
            <w:tcW w:w="1600" w:type="dxa"/>
            <w:vAlign w:val="bottom"/>
            <w:tcBorders>
              <w:bottom w:val="single" w:sz="8" w:color="BFBFBF"/>
            </w:tcBorders>
          </w:tcPr>
          <w:p>
            <w:pPr>
              <w:spacing w:after="0"/>
              <w:rPr>
                <w:sz w:val="16"/>
                <w:szCs w:val="16"/>
                <w:color w:val="auto"/>
              </w:rPr>
            </w:pPr>
          </w:p>
        </w:tc>
        <w:tc>
          <w:tcPr>
            <w:tcW w:w="640" w:type="dxa"/>
            <w:vAlign w:val="bottom"/>
            <w:tcBorders>
              <w:bottom w:val="single" w:sz="8" w:color="BFBFBF"/>
            </w:tcBorders>
          </w:tcPr>
          <w:p>
            <w:pPr>
              <w:spacing w:after="0"/>
              <w:rPr>
                <w:sz w:val="16"/>
                <w:szCs w:val="16"/>
                <w:color w:val="auto"/>
              </w:rPr>
            </w:pPr>
          </w:p>
        </w:tc>
        <w:tc>
          <w:tcPr>
            <w:tcW w:w="60" w:type="dxa"/>
            <w:vAlign w:val="bottom"/>
            <w:tcBorders>
              <w:bottom w:val="single" w:sz="8" w:color="BFBFBF"/>
            </w:tcBorders>
          </w:tcPr>
          <w:p>
            <w:pPr>
              <w:spacing w:after="0"/>
              <w:rPr>
                <w:sz w:val="16"/>
                <w:szCs w:val="16"/>
                <w:color w:val="auto"/>
              </w:rPr>
            </w:pPr>
          </w:p>
        </w:tc>
        <w:tc>
          <w:tcPr>
            <w:tcW w:w="880" w:type="dxa"/>
            <w:vAlign w:val="bottom"/>
            <w:tcBorders>
              <w:bottom w:val="single" w:sz="8" w:color="BFBFBF"/>
            </w:tcBorders>
          </w:tcPr>
          <w:p>
            <w:pPr>
              <w:spacing w:after="0"/>
              <w:rPr>
                <w:sz w:val="16"/>
                <w:szCs w:val="16"/>
                <w:color w:val="auto"/>
              </w:rPr>
            </w:pPr>
          </w:p>
        </w:tc>
        <w:tc>
          <w:tcPr>
            <w:tcW w:w="3840" w:type="dxa"/>
            <w:vAlign w:val="bottom"/>
            <w:tcBorders>
              <w:bottom w:val="single" w:sz="8" w:color="BFBFBF"/>
            </w:tcBorders>
          </w:tcPr>
          <w:p>
            <w:pPr>
              <w:spacing w:after="0"/>
              <w:rPr>
                <w:sz w:val="16"/>
                <w:szCs w:val="16"/>
                <w:color w:val="auto"/>
              </w:rPr>
            </w:pPr>
          </w:p>
        </w:tc>
        <w:tc>
          <w:tcPr>
            <w:tcW w:w="20" w:type="dxa"/>
            <w:vAlign w:val="bottom"/>
            <w:tcBorders>
              <w:bottom w:val="single" w:sz="8" w:color="BFBFBF"/>
            </w:tcBorders>
          </w:tcPr>
          <w:p>
            <w:pPr>
              <w:spacing w:after="0"/>
              <w:rPr>
                <w:sz w:val="16"/>
                <w:szCs w:val="16"/>
                <w:color w:val="auto"/>
              </w:rPr>
            </w:pPr>
          </w:p>
        </w:tc>
        <w:tc>
          <w:tcPr>
            <w:tcW w:w="20" w:type="dxa"/>
            <w:vAlign w:val="bottom"/>
            <w:tcBorders>
              <w:bottom w:val="single" w:sz="8" w:color="BFBFBF"/>
            </w:tcBorders>
          </w:tcPr>
          <w:p>
            <w:pPr>
              <w:spacing w:after="0"/>
              <w:rPr>
                <w:sz w:val="16"/>
                <w:szCs w:val="16"/>
                <w:color w:val="auto"/>
              </w:rPr>
            </w:pPr>
          </w:p>
        </w:tc>
      </w:tr>
      <w:tr>
        <w:trPr>
          <w:trHeight w:val="240"/>
        </w:trPr>
        <w:tc>
          <w:tcPr>
            <w:tcW w:w="2040" w:type="dxa"/>
            <w:vAlign w:val="bottom"/>
          </w:tcPr>
          <w:p>
            <w:pPr>
              <w:ind w:left="20"/>
              <w:spacing w:after="0"/>
              <w:rPr>
                <w:sz w:val="20"/>
                <w:szCs w:val="20"/>
                <w:color w:val="auto"/>
              </w:rPr>
            </w:pPr>
            <w:r>
              <w:rPr>
                <w:rFonts w:ascii="Arial" w:cs="Arial" w:eastAsia="Arial" w:hAnsi="Arial"/>
                <w:sz w:val="18"/>
                <w:szCs w:val="18"/>
                <w:color w:val="auto"/>
              </w:rPr>
              <w:t>104</w:t>
            </w:r>
          </w:p>
        </w:tc>
        <w:tc>
          <w:tcPr>
            <w:tcW w:w="920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arrangement.</w:t>
      </w:r>
    </w:p>
    <w:p>
      <w:pPr>
        <w:spacing w:after="0" w:line="171" w:lineRule="exact"/>
        <w:rPr>
          <w:sz w:val="20"/>
          <w:szCs w:val="20"/>
          <w:color w:val="auto"/>
        </w:rPr>
      </w:pPr>
    </w:p>
    <w:p>
      <w:pPr>
        <w:ind w:firstLine="8"/>
        <w:spacing w:after="0" w:line="287" w:lineRule="auto"/>
        <w:tabs>
          <w:tab w:leader="none" w:pos="1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Schedules and/or exhibits have been omitted from this filing pursuant to Item 601(a)(5) of Regulation S-K. The Company agrees to furnish supplementally a copy of any omitted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0" w:name="page61"/>
    <w:bookmarkEnd w:id="60"/>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HONEYWELL AEROSPACE INC.</w:t>
      </w:r>
    </w:p>
    <w:p>
      <w:pPr>
        <w:spacing w:after="0" w:line="77" w:lineRule="exact"/>
        <w:rPr>
          <w:sz w:val="20"/>
          <w:szCs w:val="20"/>
          <w:color w:val="auto"/>
        </w:rPr>
      </w:pPr>
    </w:p>
    <w:p>
      <w:pPr>
        <w:ind w:left="20"/>
        <w:spacing w:after="0"/>
        <w:tabs>
          <w:tab w:leader="none" w:pos="4780" w:val="left"/>
          <w:tab w:leader="none" w:pos="5620" w:val="left"/>
        </w:tabs>
        <w:rPr>
          <w:sz w:val="20"/>
          <w:szCs w:val="20"/>
          <w:color w:val="auto"/>
        </w:rPr>
      </w:pPr>
      <w:r>
        <w:rPr>
          <w:rFonts w:ascii="Arial" w:cs="Arial" w:eastAsia="Arial" w:hAnsi="Arial"/>
          <w:sz w:val="18"/>
          <w:szCs w:val="18"/>
          <w:color w:val="auto"/>
        </w:rPr>
        <w:t>Date: October 28,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Lautar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6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William Lautar</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Vice President, Controller and Chief Accounting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40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10.14</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US Officers</w:t>
      </w:r>
    </w:p>
    <w:p>
      <w:pPr>
        <w:spacing w:after="0" w:line="200" w:lineRule="exact"/>
        <w:rPr>
          <w:sz w:val="20"/>
          <w:szCs w:val="20"/>
          <w:color w:val="auto"/>
        </w:rPr>
      </w:pPr>
    </w:p>
    <w:p>
      <w:pPr>
        <w:spacing w:after="0" w:line="328" w:lineRule="exact"/>
        <w:rPr>
          <w:sz w:val="20"/>
          <w:szCs w:val="20"/>
          <w:color w:val="auto"/>
        </w:rPr>
      </w:pPr>
    </w:p>
    <w:p>
      <w:pPr>
        <w:jc w:val="center"/>
        <w:ind w:left="340" w:right="2680"/>
        <w:spacing w:after="0" w:line="386" w:lineRule="auto"/>
        <w:rPr>
          <w:sz w:val="20"/>
          <w:szCs w:val="20"/>
          <w:color w:val="auto"/>
        </w:rPr>
      </w:pPr>
      <w:r>
        <w:rPr>
          <w:rFonts w:ascii="Arial" w:cs="Arial" w:eastAsia="Arial" w:hAnsi="Arial"/>
          <w:sz w:val="22"/>
          <w:szCs w:val="22"/>
          <w:b w:val="1"/>
          <w:bCs w:val="1"/>
          <w:color w:val="auto"/>
        </w:rPr>
        <w:t>2026 STOCK INCENTIVE PLAN OF HONEYWELL AEROSPACE INC. AND ITS AFFILIATES RESTRICTED STOCK UNIT AGREEMENT</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This RESTRICTED STOCK UNIT AGREEMENT made as of [DATE] (the “Grant Date”), between Honeywell Aerospace Inc. (the “Company”) and [EMPLOYEE NAME] (“Participant”).</w:t>
      </w:r>
    </w:p>
    <w:p>
      <w:pPr>
        <w:spacing w:after="0" w:line="87" w:lineRule="exact"/>
        <w:rPr>
          <w:sz w:val="20"/>
          <w:szCs w:val="20"/>
          <w:color w:val="auto"/>
        </w:rPr>
      </w:pPr>
    </w:p>
    <w:p>
      <w:pPr>
        <w:jc w:val="both"/>
        <w:ind w:firstLine="8"/>
        <w:spacing w:after="0" w:line="237" w:lineRule="auto"/>
        <w:tabs>
          <w:tab w:leader="none" w:pos="254"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Grant of Award. </w:t>
      </w:r>
      <w:r>
        <w:rPr>
          <w:rFonts w:ascii="Arial" w:cs="Arial" w:eastAsia="Arial" w:hAnsi="Arial"/>
          <w:sz w:val="22"/>
          <w:szCs w:val="22"/>
          <w:color w:val="auto"/>
        </w:rPr>
        <w:t>The Company has granted you [NUMBER] Restricted Stock Units, subject to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the 2026 Stock Incentive Plan of Honeywell Aerospace Inc. and its Affiliates (the “Plan”). The Company will hold the Restricted Stock Units and Additional Restricted Stock Units (as defined in Section 2) in a bookkeeping account on your behalf until they become payable or are forfeited or cancelled.</w:t>
      </w:r>
    </w:p>
    <w:p>
      <w:pPr>
        <w:spacing w:after="0" w:line="11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Restricted Stock Unit Details for this grant can be found on the Morgan Stanley At Work website at atwork.morganstanley.com. The Company reserves the right to change or correct any information contained on the Morgan Stanley At Work website to reflect the terms of the Award actually made by the Company on the Grant Date or the Plan.</w:t>
      </w:r>
    </w:p>
    <w:p>
      <w:pPr>
        <w:spacing w:after="0" w:line="93" w:lineRule="exact"/>
        <w:rPr>
          <w:sz w:val="20"/>
          <w:szCs w:val="20"/>
          <w:color w:val="auto"/>
        </w:rPr>
      </w:pPr>
    </w:p>
    <w:p>
      <w:pPr>
        <w:jc w:val="both"/>
        <w:ind w:firstLine="8"/>
        <w:spacing w:after="0" w:line="242" w:lineRule="auto"/>
        <w:tabs>
          <w:tab w:leader="none" w:pos="267" w:val="left"/>
        </w:tabs>
        <w:numPr>
          <w:ilvl w:val="0"/>
          <w:numId w:val="33"/>
        </w:numPr>
        <w:rPr>
          <w:rFonts w:ascii="Arial" w:cs="Arial" w:eastAsia="Arial" w:hAnsi="Arial"/>
          <w:sz w:val="21"/>
          <w:szCs w:val="21"/>
          <w:color w:val="auto"/>
        </w:rPr>
      </w:pPr>
      <w:r>
        <w:rPr>
          <w:rFonts w:ascii="Arial" w:cs="Arial" w:eastAsia="Arial" w:hAnsi="Arial"/>
          <w:sz w:val="21"/>
          <w:szCs w:val="21"/>
          <w:b w:val="1"/>
          <w:bCs w:val="1"/>
          <w:color w:val="auto"/>
        </w:rPr>
        <w:t xml:space="preserve">Dividend Equivalents. </w:t>
      </w:r>
      <w:r>
        <w:rPr>
          <w:rFonts w:ascii="Arial" w:cs="Arial" w:eastAsia="Arial" w:hAnsi="Arial"/>
          <w:sz w:val="21"/>
          <w:szCs w:val="21"/>
          <w:color w:val="auto"/>
        </w:rPr>
        <w:t>Except as otherwise determined by the Committee, in its sole discretion, you will earn</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w:t>
      </w:r>
    </w:p>
    <w:p>
      <w:pPr>
        <w:spacing w:after="0" w:line="4" w:lineRule="exact"/>
        <w:rPr>
          <w:rFonts w:ascii="Arial" w:cs="Arial" w:eastAsia="Arial" w:hAnsi="Arial"/>
          <w:sz w:val="21"/>
          <w:szCs w:val="21"/>
          <w:color w:val="auto"/>
        </w:rPr>
      </w:pPr>
    </w:p>
    <w:p>
      <w:pPr>
        <w:jc w:val="both"/>
        <w:spacing w:after="0" w:line="232" w:lineRule="auto"/>
        <w:rPr>
          <w:rFonts w:ascii="Arial" w:cs="Arial" w:eastAsia="Arial" w:hAnsi="Arial"/>
          <w:sz w:val="21"/>
          <w:szCs w:val="21"/>
          <w:color w:val="auto"/>
        </w:rPr>
      </w:pPr>
      <w:r>
        <w:rPr>
          <w:rFonts w:ascii="Arial" w:cs="Arial" w:eastAsia="Arial" w:hAnsi="Arial"/>
          <w:sz w:val="22"/>
          <w:szCs w:val="22"/>
          <w:color w:val="auto"/>
        </w:rPr>
        <w:t>(b)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 You will continue to earn Additional Restricted Stock Units on unpaid Restricted Stock Units and Additional Restricted Stock Units that are held in your bookkeeping account pursuant to a deferral election until the vested Shares are paid to you.</w:t>
      </w:r>
    </w:p>
    <w:p>
      <w:pPr>
        <w:spacing w:after="0" w:line="100" w:lineRule="exact"/>
        <w:rPr>
          <w:rFonts w:ascii="Arial" w:cs="Arial" w:eastAsia="Arial" w:hAnsi="Arial"/>
          <w:sz w:val="21"/>
          <w:szCs w:val="21"/>
          <w:color w:val="auto"/>
        </w:rPr>
      </w:pPr>
    </w:p>
    <w:p>
      <w:pPr>
        <w:ind w:firstLine="8"/>
        <w:spacing w:after="0" w:line="261" w:lineRule="auto"/>
        <w:tabs>
          <w:tab w:leader="none" w:pos="254"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Payment Amount. </w:t>
      </w:r>
      <w:r>
        <w:rPr>
          <w:rFonts w:ascii="Arial" w:cs="Arial" w:eastAsia="Arial" w:hAnsi="Arial"/>
          <w:sz w:val="22"/>
          <w:szCs w:val="22"/>
          <w:color w:val="auto"/>
        </w:rPr>
        <w:t>Each Restricted Stock Unit and Additional Restricted Stock Unit represents one (1) Share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w:t>
      </w:r>
    </w:p>
    <w:p>
      <w:pPr>
        <w:spacing w:after="0" w:line="84" w:lineRule="exact"/>
        <w:rPr>
          <w:rFonts w:ascii="Arial" w:cs="Arial" w:eastAsia="Arial" w:hAnsi="Arial"/>
          <w:sz w:val="22"/>
          <w:szCs w:val="22"/>
          <w:color w:val="auto"/>
        </w:rPr>
      </w:pPr>
    </w:p>
    <w:p>
      <w:pPr>
        <w:ind w:firstLine="8"/>
        <w:spacing w:after="0" w:line="261" w:lineRule="auto"/>
        <w:tabs>
          <w:tab w:leader="none" w:pos="254"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in the event of your Termination of Service due to death or Disability or retirement (as defined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7(a)), or as otherwise provided in Section 8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5" w:right="339" w:bottom="1440" w:gutter="0" w:footer="0" w:header="0"/>
        </w:sectPr>
      </w:pPr>
    </w:p>
    <w:bookmarkStart w:id="62" w:name="page63"/>
    <w:bookmarkEnd w:id="62"/>
    <w:p>
      <w:pPr>
        <w:spacing w:after="0" w:line="283" w:lineRule="auto"/>
        <w:rPr>
          <w:sz w:val="20"/>
          <w:szCs w:val="20"/>
          <w:color w:val="auto"/>
        </w:rPr>
      </w:pPr>
      <w:r>
        <w:rPr>
          <w:rFonts w:ascii="Arial" w:cs="Arial" w:eastAsia="Arial" w:hAnsi="Arial"/>
          <w:sz w:val="21"/>
          <w:szCs w:val="21"/>
          <w:color w:val="auto"/>
        </w:rPr>
        <w:t>Agreement relating to a Change in Control, the Restricted Stock Units and Additional Restricted Stock Units will vest as provided on the attached Vesting Schedule Table, which is incorporated into, and made a part of, this Agreement.</w:t>
      </w:r>
    </w:p>
    <w:p>
      <w:pPr>
        <w:spacing w:after="0" w:line="50" w:lineRule="exact"/>
        <w:rPr>
          <w:sz w:val="20"/>
          <w:szCs w:val="20"/>
          <w:color w:val="auto"/>
        </w:rPr>
      </w:pPr>
    </w:p>
    <w:p>
      <w:pPr>
        <w:jc w:val="both"/>
        <w:ind w:firstLine="8"/>
        <w:spacing w:after="0" w:line="235" w:lineRule="auto"/>
        <w:tabs>
          <w:tab w:leader="none" w:pos="240"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Form and Timing of Payment. </w:t>
      </w:r>
      <w:r>
        <w:rPr>
          <w:rFonts w:ascii="Arial" w:cs="Arial" w:eastAsia="Arial" w:hAnsi="Arial"/>
          <w:sz w:val="22"/>
          <w:szCs w:val="22"/>
          <w:color w:val="auto"/>
        </w:rPr>
        <w:t>Vested Restricted Stock Units will be redeemed solely for whole Shares.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determined by the Committee, in its sole discretion, vested Additional Restricted Stock Units will be redeemed solely for whole Shares. Except as otherwise provided in Section 7 below, payment of vested Restricted Stock Units and Additional Restricted Stock Units will be made as soon as practicable following the applicable vesting date but in no event later than two and one-half (2-1/2) months following the end of the calendar year in which the vesting date occurs. As determined by the Committee in its sole discretion prior to the vesting date, any fractional Shares may be paid in cash or otherwise treated in accordance with Section 5.6 of the Plan. You cannot defer payment of the Restricted Stock Units or the Additional Restricted Stock Units.</w:t>
      </w:r>
    </w:p>
    <w:p>
      <w:pPr>
        <w:spacing w:after="0" w:line="97" w:lineRule="exact"/>
        <w:rPr>
          <w:rFonts w:ascii="Arial" w:cs="Arial" w:eastAsia="Arial" w:hAnsi="Arial"/>
          <w:sz w:val="22"/>
          <w:szCs w:val="22"/>
          <w:color w:val="auto"/>
        </w:rPr>
      </w:pPr>
    </w:p>
    <w:p>
      <w:pPr>
        <w:jc w:val="both"/>
        <w:ind w:firstLine="8"/>
        <w:spacing w:after="0"/>
        <w:tabs>
          <w:tab w:leader="none" w:pos="267"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Termination of Service. </w:t>
      </w:r>
      <w:r>
        <w:rPr>
          <w:rFonts w:ascii="Arial" w:cs="Arial" w:eastAsia="Arial" w:hAnsi="Arial"/>
          <w:sz w:val="22"/>
          <w:szCs w:val="22"/>
          <w:color w:val="auto"/>
        </w:rPr>
        <w:t>Except as otherwise provided in Sections 7 and 8 of this Agreement, any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Units and Additional Restricted Stock Units that have not vested as of your Termination of Service will immediately be forfeited, and your rights with respect to these Restricted Stock Units and Additional Restricted Stock Units will end.</w:t>
      </w:r>
    </w:p>
    <w:p>
      <w:pPr>
        <w:spacing w:after="0" w:line="108" w:lineRule="exact"/>
        <w:rPr>
          <w:rFonts w:ascii="Arial" w:cs="Arial" w:eastAsia="Arial" w:hAnsi="Arial"/>
          <w:sz w:val="22"/>
          <w:szCs w:val="22"/>
          <w:color w:val="auto"/>
        </w:rPr>
      </w:pPr>
    </w:p>
    <w:p>
      <w:pPr>
        <w:ind w:left="240" w:hanging="232"/>
        <w:spacing w:after="0"/>
        <w:tabs>
          <w:tab w:leader="none" w:pos="240"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Retirement, Death or Disability.</w:t>
      </w:r>
    </w:p>
    <w:p>
      <w:pPr>
        <w:spacing w:after="0" w:line="125"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b w:val="1"/>
          <w:bCs w:val="1"/>
          <w:color w:val="auto"/>
        </w:rPr>
        <w:t>Vesting and Payment Following Retirement.</w:t>
      </w:r>
      <w:r>
        <w:rPr>
          <w:rFonts w:ascii="Arial" w:cs="Arial" w:eastAsia="Arial" w:hAnsi="Arial"/>
          <w:sz w:val="21"/>
          <w:szCs w:val="21"/>
          <w:color w:val="auto"/>
        </w:rPr>
        <w:t xml:space="preserve"> If you terminate employment with the Company and its Affiliates (i) not for Cause, and (ii) after you attain at least 70 points (actual age plus Years of Service, with minimum age 55), and</w:t>
      </w:r>
    </w:p>
    <w:p>
      <w:pPr>
        <w:spacing w:after="0" w:line="1" w:lineRule="exact"/>
        <w:rPr>
          <w:sz w:val="20"/>
          <w:szCs w:val="20"/>
          <w:color w:val="auto"/>
        </w:rPr>
      </w:pPr>
    </w:p>
    <w:p>
      <w:pPr>
        <w:ind w:right="20" w:firstLine="8"/>
        <w:spacing w:after="0"/>
        <w:tabs>
          <w:tab w:leader="none" w:pos="374" w:val="left"/>
        </w:tabs>
        <w:numPr>
          <w:ilvl w:val="0"/>
          <w:numId w:val="35"/>
        </w:numPr>
        <w:rPr>
          <w:rFonts w:ascii="Arial" w:cs="Arial" w:eastAsia="Arial" w:hAnsi="Arial"/>
          <w:sz w:val="22"/>
          <w:szCs w:val="22"/>
          <w:color w:val="auto"/>
        </w:rPr>
      </w:pPr>
      <w:r>
        <w:rPr>
          <w:rFonts w:ascii="Arial" w:cs="Arial" w:eastAsia="Arial" w:hAnsi="Arial"/>
          <w:sz w:val="22"/>
          <w:szCs w:val="22"/>
          <w:color w:val="auto"/>
        </w:rPr>
        <w:t>after you provide the Company at least 120 days’ advance notice of your Termination of Service, and (iv) you comply with all applicable post-termination restrictive covenants, the following special provisions shall apply:</w:t>
      </w:r>
    </w:p>
    <w:p>
      <w:pPr>
        <w:spacing w:after="0" w:line="108" w:lineRule="exact"/>
        <w:rPr>
          <w:rFonts w:ascii="Arial" w:cs="Arial" w:eastAsia="Arial" w:hAnsi="Arial"/>
          <w:sz w:val="22"/>
          <w:szCs w:val="22"/>
          <w:color w:val="auto"/>
        </w:rPr>
      </w:pPr>
    </w:p>
    <w:p>
      <w:pPr>
        <w:jc w:val="both"/>
        <w:ind w:left="340" w:hanging="8"/>
        <w:spacing w:after="0" w:line="248" w:lineRule="auto"/>
        <w:tabs>
          <w:tab w:leader="none" w:pos="694" w:val="left"/>
        </w:tabs>
        <w:numPr>
          <w:ilvl w:val="1"/>
          <w:numId w:val="35"/>
        </w:numPr>
        <w:rPr>
          <w:rFonts w:ascii="Arial" w:cs="Arial" w:eastAsia="Arial" w:hAnsi="Arial"/>
          <w:sz w:val="21"/>
          <w:szCs w:val="21"/>
          <w:color w:val="auto"/>
        </w:rPr>
      </w:pPr>
      <w:r>
        <w:rPr>
          <w:rFonts w:ascii="Arial" w:cs="Arial" w:eastAsia="Arial" w:hAnsi="Arial"/>
          <w:sz w:val="21"/>
          <w:szCs w:val="21"/>
          <w:color w:val="auto"/>
        </w:rPr>
        <w:t>the amount of unvested Restricted Stock Units and Additional Restricted Stock Units that shall vest under this Section 7(a) shall equal (1) the total number of Shares granted to you under Section 1 of this Agreement, (2) multiplied by a fraction, the numerator of which is your Years of Service from the Grant Date to your Termination of Service and the denominator of which is the total years of service from the Grant Date to the final vesting date of this Award, then (3) minus the total number of Shares that vested on or before your Termination of Service; and</w:t>
      </w:r>
    </w:p>
    <w:p>
      <w:pPr>
        <w:spacing w:after="0" w:line="102" w:lineRule="exact"/>
        <w:rPr>
          <w:rFonts w:ascii="Arial" w:cs="Arial" w:eastAsia="Arial" w:hAnsi="Arial"/>
          <w:sz w:val="21"/>
          <w:szCs w:val="21"/>
          <w:color w:val="auto"/>
        </w:rPr>
      </w:pPr>
    </w:p>
    <w:p>
      <w:pPr>
        <w:jc w:val="both"/>
        <w:ind w:left="340" w:right="20" w:hanging="8"/>
        <w:spacing w:after="0" w:line="245" w:lineRule="auto"/>
        <w:tabs>
          <w:tab w:leader="none" w:pos="689" w:val="left"/>
        </w:tabs>
        <w:numPr>
          <w:ilvl w:val="1"/>
          <w:numId w:val="35"/>
        </w:numPr>
        <w:rPr>
          <w:rFonts w:ascii="Arial" w:cs="Arial" w:eastAsia="Arial" w:hAnsi="Arial"/>
          <w:sz w:val="22"/>
          <w:szCs w:val="22"/>
          <w:color w:val="auto"/>
        </w:rPr>
      </w:pPr>
      <w:r>
        <w:rPr>
          <w:rFonts w:ascii="Arial" w:cs="Arial" w:eastAsia="Arial" w:hAnsi="Arial"/>
          <w:sz w:val="22"/>
          <w:szCs w:val="22"/>
          <w:color w:val="auto"/>
        </w:rPr>
        <w:t>Shares that vest pursuant to Paragraph (A) above shall be distributed at the Award’s next regular vesting date, not to exceed the number of Shares that would have vested at such date under the original vesting schedule, with excess Shares vesting at a future vesting date if necessary.</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b w:val="1"/>
          <w:bCs w:val="1"/>
          <w:color w:val="auto"/>
        </w:rPr>
        <w:t>Vesting and Payment Following Death or Disability.</w:t>
      </w:r>
    </w:p>
    <w:p>
      <w:pPr>
        <w:spacing w:after="0" w:line="141" w:lineRule="exact"/>
        <w:rPr>
          <w:sz w:val="20"/>
          <w:szCs w:val="20"/>
          <w:color w:val="auto"/>
        </w:rPr>
      </w:pPr>
    </w:p>
    <w:p>
      <w:pPr>
        <w:jc w:val="both"/>
        <w:ind w:firstLine="656"/>
        <w:spacing w:after="0" w:line="239" w:lineRule="auto"/>
        <w:tabs>
          <w:tab w:leader="none" w:pos="9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If your Termination of Service occurs due to death or Disability before the vesting date described in Section 4 of this Agreement, all of your unvested Restricted Stock Units and Additional Restricted Stock Units will vest as of your Termination of Service. If you are deceased, the Company will make a payment to your estate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9" w:right="339" w:bottom="1440" w:gutter="0" w:footer="0" w:header="0"/>
        </w:sectPr>
      </w:pPr>
    </w:p>
    <w:bookmarkStart w:id="63" w:name="page64"/>
    <w:bookmarkEnd w:id="63"/>
    <w:p>
      <w:pPr>
        <w:spacing w:after="0" w:line="259" w:lineRule="auto"/>
        <w:rPr>
          <w:sz w:val="20"/>
          <w:szCs w:val="20"/>
          <w:color w:val="auto"/>
        </w:rPr>
      </w:pPr>
      <w:r>
        <w:rPr>
          <w:rFonts w:ascii="Arial" w:cs="Arial" w:eastAsia="Arial" w:hAnsi="Arial"/>
          <w:sz w:val="22"/>
          <w:szCs w:val="22"/>
          <w:color w:val="auto"/>
        </w:rPr>
        <w:t>after the Company has determined that the payee is the duly appointed executor or administrator of your estate, subject to Section 7.14 of the Plan.</w:t>
      </w:r>
    </w:p>
    <w:p>
      <w:pPr>
        <w:spacing w:after="0" w:line="75" w:lineRule="exact"/>
        <w:rPr>
          <w:sz w:val="20"/>
          <w:szCs w:val="20"/>
          <w:color w:val="auto"/>
        </w:rPr>
      </w:pPr>
    </w:p>
    <w:p>
      <w:pPr>
        <w:jc w:val="both"/>
        <w:ind w:firstLine="656"/>
        <w:spacing w:after="0"/>
        <w:tabs>
          <w:tab w:leader="none" w:pos="952" w:val="left"/>
        </w:tabs>
        <w:numPr>
          <w:ilvl w:val="1"/>
          <w:numId w:val="37"/>
        </w:numPr>
        <w:rPr>
          <w:rFonts w:ascii="Arial" w:cs="Arial" w:eastAsia="Arial" w:hAnsi="Arial"/>
          <w:sz w:val="22"/>
          <w:szCs w:val="22"/>
          <w:color w:val="auto"/>
        </w:rPr>
      </w:pPr>
      <w:r>
        <w:rPr>
          <w:rFonts w:ascii="Arial" w:cs="Arial" w:eastAsia="Arial" w:hAnsi="Arial"/>
          <w:sz w:val="22"/>
          <w:szCs w:val="22"/>
          <w:color w:val="auto"/>
        </w:rPr>
        <w:t>If your Termination of Service occurs due to death or Disability before the vesting date described in Section 4 of this Agreement, payment for vested Restricted Stock Units and Additional Restricted Stock Units will be made as soon as practicable following your Termination of Service, but in no event later than the last day of the calendar year in which your Termination of Service occurs.</w:t>
      </w:r>
    </w:p>
    <w:p>
      <w:pPr>
        <w:spacing w:after="0" w:line="108" w:lineRule="exact"/>
        <w:rPr>
          <w:rFonts w:ascii="Arial" w:cs="Arial" w:eastAsia="Arial" w:hAnsi="Arial"/>
          <w:sz w:val="22"/>
          <w:szCs w:val="22"/>
          <w:color w:val="auto"/>
        </w:rPr>
      </w:pPr>
    </w:p>
    <w:p>
      <w:pPr>
        <w:jc w:val="both"/>
        <w:ind w:firstLine="8"/>
        <w:spacing w:after="0" w:line="236" w:lineRule="auto"/>
        <w:tabs>
          <w:tab w:leader="none" w:pos="266" w:val="left"/>
        </w:tabs>
        <w:numPr>
          <w:ilvl w:val="0"/>
          <w:numId w:val="38"/>
        </w:numPr>
        <w:rPr>
          <w:rFonts w:ascii="Arial" w:cs="Arial" w:eastAsia="Arial" w:hAnsi="Arial"/>
          <w:sz w:val="22"/>
          <w:szCs w:val="22"/>
          <w:color w:val="auto"/>
        </w:rPr>
      </w:pPr>
      <w:r>
        <w:rPr>
          <w:rFonts w:ascii="Arial" w:cs="Arial" w:eastAsia="Arial" w:hAnsi="Arial"/>
          <w:sz w:val="22"/>
          <w:szCs w:val="22"/>
          <w:color w:val="auto"/>
        </w:rPr>
        <w:t>If your Termination of Service due to retirement occurs before the vesting date described in Section 4 of this Agreement and you do not satisfy the requirements of Section 7(a) above, all unvested Restricted Stock Units and Additional Restricted Stock Units will be forfeited and your rights with respect to any award under this Agreement will terminate.</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8. </w:t>
      </w:r>
      <w:r>
        <w:rPr>
          <w:rFonts w:ascii="Arial" w:cs="Arial" w:eastAsia="Arial" w:hAnsi="Arial"/>
          <w:sz w:val="22"/>
          <w:szCs w:val="22"/>
          <w:b w:val="1"/>
          <w:bCs w:val="1"/>
          <w:color w:val="auto"/>
        </w:rPr>
        <w:t>Change in Control.</w:t>
      </w:r>
      <w:r>
        <w:rPr>
          <w:rFonts w:ascii="Arial" w:cs="Arial" w:eastAsia="Arial" w:hAnsi="Arial"/>
          <w:sz w:val="22"/>
          <w:szCs w:val="22"/>
          <w:color w:val="auto"/>
        </w:rPr>
        <w:t xml:space="preserve"> In the event of a Change in Control (as defined in the Plan), the following provisions apply:</w:t>
      </w:r>
    </w:p>
    <w:p>
      <w:pPr>
        <w:spacing w:after="0" w:line="14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a. Unless adjusted, substituted or otherwise treated pursuant to Section 5.4 or 5.5(a) of the Plan, Restricted Stock Units and Additional Restricted Stock Units that have not vested or terminated as of the date of the Change in Control will immediately vest. No later than the earlier of 90 days after the date of the Change in Control or two and one-half months after the end of the calendar year in which the Change in Control occurs, you will receive for the Restricted Stock Units and Additional Restricted Stock Units a single payment in cash equal to the product of the number of outstanding Restricted Stock Units and Additional Restricted Stock Units as of the date of the Change in Control (including any Restricted Stock Units and Additional Restricted Stock Units that vest pursuant to this Section 8) and an amount equal to the greater of (i) the highest price per Share paid in connection with the Change in Control,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1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b. If adjusted or substituted or otherwise treated pursuant to Section 5.4 or 5.5(a) of the Plan, Restricted Stock Units and Additional Restricted Stock Units that have not vested or terminated as of the date of the Change in Control will continue to vest in accordance with the schedule described in Section 4 of this Agreement (or as adjusted if more favorable); provided, however, that if you incur an involuntary Termination of Service not for Cause (as defined in Section 2.7 of the Plan) or a voluntary Termination of Service for Good Reason (as defined in Section 2.20 of the Plan) on or before the second anniversary of the date of the Change in Control, Restricted Stock Units and Additional Restricted Stock Units that have not vested or terminated as of your Termination of Service will immediately vest in full and be settled no later than the earlier of 90 days after the Termination of Service or two and one-half months after the end of the calendar year in which the Termination of Service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9" w:right="339" w:bottom="1440" w:gutter="0" w:footer="0" w:header="0"/>
        </w:sectPr>
      </w:pPr>
    </w:p>
    <w:bookmarkStart w:id="64" w:name="page65"/>
    <w:bookmarkEnd w:id="64"/>
    <w:p>
      <w:pPr>
        <w:jc w:val="both"/>
        <w:ind w:firstLine="8"/>
        <w:spacing w:after="0" w:line="237" w:lineRule="auto"/>
        <w:tabs>
          <w:tab w:leader="none" w:pos="254"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Withholdings. </w:t>
      </w:r>
      <w:r>
        <w:rPr>
          <w:rFonts w:ascii="Arial" w:cs="Arial" w:eastAsia="Arial" w:hAnsi="Arial"/>
          <w:sz w:val="22"/>
          <w:szCs w:val="22"/>
          <w:color w:val="auto"/>
        </w:rPr>
        <w:t>The Company or your local employer shall have the power and the right to deduct or withhold, or</w:t>
      </w:r>
      <w:r>
        <w:rPr>
          <w:rFonts w:ascii="Arial" w:cs="Arial" w:eastAsia="Arial" w:hAnsi="Arial"/>
          <w:sz w:val="22"/>
          <w:szCs w:val="22"/>
          <w:b w:val="1"/>
          <w:bCs w:val="1"/>
          <w:color w:val="auto"/>
        </w:rPr>
        <w:t xml:space="preserve"> </w:t>
      </w:r>
      <w:r>
        <w:rPr>
          <w:rFonts w:ascii="Arial" w:cs="Arial" w:eastAsia="Arial" w:hAnsi="Arial"/>
          <w:sz w:val="22"/>
          <w:szCs w:val="22"/>
          <w:color w:val="auto"/>
        </w:rPr>
        <w:t>require you to remit to the Company or to your local employer, prior to any 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94" w:lineRule="exact"/>
        <w:rPr>
          <w:rFonts w:ascii="Arial" w:cs="Arial" w:eastAsia="Arial" w:hAnsi="Arial"/>
          <w:sz w:val="22"/>
          <w:szCs w:val="22"/>
          <w:color w:val="auto"/>
        </w:rPr>
      </w:pPr>
    </w:p>
    <w:p>
      <w:pPr>
        <w:jc w:val="both"/>
        <w:ind w:firstLine="8"/>
        <w:spacing w:after="0" w:line="245" w:lineRule="auto"/>
        <w:tabs>
          <w:tab w:leader="none" w:pos="374"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Transfer of Award. </w:t>
      </w:r>
      <w:r>
        <w:rPr>
          <w:rFonts w:ascii="Arial" w:cs="Arial" w:eastAsia="Arial" w:hAnsi="Arial"/>
          <w:sz w:val="22"/>
          <w:szCs w:val="22"/>
          <w:color w:val="auto"/>
        </w:rPr>
        <w:t>You may not transfer the Restricted Stock Units or Additional Restricted Stock Units or any</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in such Units except by will or the laws of descent and distribution or except as permitted by the Committee and as specified in the Plan. Any other attempt to dispose of your interest will be null and void.</w:t>
      </w:r>
    </w:p>
    <w:p>
      <w:pPr>
        <w:spacing w:after="0" w:line="89" w:lineRule="exact"/>
        <w:rPr>
          <w:rFonts w:ascii="Arial" w:cs="Arial" w:eastAsia="Arial" w:hAnsi="Arial"/>
          <w:sz w:val="22"/>
          <w:szCs w:val="22"/>
          <w:color w:val="auto"/>
        </w:rPr>
      </w:pPr>
    </w:p>
    <w:p>
      <w:pPr>
        <w:ind w:left="360" w:hanging="352"/>
        <w:spacing w:after="0"/>
        <w:tabs>
          <w:tab w:leader="none" w:pos="360"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Requirements for and Forfeiture of Award.</w:t>
      </w:r>
    </w:p>
    <w:p>
      <w:pPr>
        <w:spacing w:after="0" w:line="1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General.</w:t>
      </w:r>
      <w:r>
        <w:rPr>
          <w:rFonts w:ascii="Arial" w:cs="Arial" w:eastAsia="Arial" w:hAnsi="Arial"/>
          <w:sz w:val="22"/>
          <w:szCs w:val="22"/>
          <w:color w:val="auto"/>
        </w:rPr>
        <w:t xml:space="preserve"> The Award is expressly contingent upon you complying with the terms, conditions and definitions contained in this Section 11 and in any other agreement that governs your noncompetition with the Company, your nonsolicitation of the Company’s employees, customers, suppliers, business partners and vendors, and/or your conduct with respect to the Company’s trade secrets and proprietary and confidential information. For purposes of this Section 11, the term “Company” is defined as Honeywell Aerospace Inc., its predecessors, designees and successors, as well as its past, present and future operating companies, divisions, subsidiaries, affiliates and other business units, including businesses acquired by purchase of assets, stock, merger or otherwise.</w:t>
      </w:r>
    </w:p>
    <w:p>
      <w:pPr>
        <w:spacing w:after="0" w:line="110" w:lineRule="exact"/>
        <w:rPr>
          <w:sz w:val="20"/>
          <w:szCs w:val="20"/>
          <w:color w:val="auto"/>
        </w:rPr>
      </w:pPr>
    </w:p>
    <w:p>
      <w:pPr>
        <w:ind w:left="240" w:hanging="232"/>
        <w:spacing w:after="0"/>
        <w:tabs>
          <w:tab w:leader="none" w:pos="24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Remedies.</w:t>
      </w:r>
    </w:p>
    <w:p>
      <w:pPr>
        <w:spacing w:after="0" w:line="140" w:lineRule="exact"/>
        <w:rPr>
          <w:rFonts w:ascii="Arial" w:cs="Arial" w:eastAsia="Arial" w:hAnsi="Arial"/>
          <w:sz w:val="22"/>
          <w:szCs w:val="22"/>
          <w:color w:val="auto"/>
        </w:rPr>
      </w:pPr>
    </w:p>
    <w:p>
      <w:pPr>
        <w:jc w:val="both"/>
        <w:ind w:firstLine="656"/>
        <w:spacing w:after="0" w:line="231" w:lineRule="auto"/>
        <w:tabs>
          <w:tab w:leader="none" w:pos="897" w:val="left"/>
        </w:tabs>
        <w:numPr>
          <w:ilvl w:val="1"/>
          <w:numId w:val="40"/>
        </w:numPr>
        <w:rPr>
          <w:rFonts w:ascii="Arial" w:cs="Arial" w:eastAsia="Arial" w:hAnsi="Arial"/>
          <w:sz w:val="22"/>
          <w:szCs w:val="22"/>
          <w:color w:val="auto"/>
        </w:rPr>
      </w:pPr>
      <w:r>
        <w:rPr>
          <w:rFonts w:ascii="Arial" w:cs="Arial" w:eastAsia="Arial" w:hAnsi="Arial"/>
          <w:sz w:val="22"/>
          <w:szCs w:val="22"/>
          <w:color w:val="auto"/>
        </w:rPr>
        <w:t>You expressly agree and acknowledge that the forfeiture provisions of subsection 11.b.2. of this Agreement shall apply if: (A) you are terminated for Cause (as defined in the Plan) or you voluntarily terminate your employment with less than a 60-day notice period, or (B) from the Grant Date until the date that is twenty-four (24) months after your Termination of Service for any reason, you (i) enter into an employment, consultation or similar agreement or arrangement (including any arrangement for service as an agent, partner, stockholder, consultant, officer or director) with any entity or person engaged in a business in which the Company is engaged if the business is competitive (in the sole judgment of the Company’s Chief Executive Officer (“CEO”)) and the CEO has not approved the agreement or arrangement in writing, or (ii) make any statement, publicly or privately (other than to your spouse and legal advisors), which would be disparaging (as defined below) to the Company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the Company or your career with the Company without first submitting a draft thereof, at least thirty (30) days in advance, to the Company’s Senior Vice President and General Counsel, whose judgment about whether such book, article or other media publication is disparaging shall be determinative; or such a book,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7" w:right="339" w:bottom="1440" w:gutter="0" w:footer="0" w:header="0"/>
        </w:sectPr>
      </w:pPr>
    </w:p>
    <w:bookmarkStart w:id="65" w:name="page66"/>
    <w:bookmarkEnd w:id="65"/>
    <w:p>
      <w:pPr>
        <w:jc w:val="both"/>
        <w:spacing w:after="0" w:line="249" w:lineRule="auto"/>
        <w:rPr>
          <w:sz w:val="20"/>
          <w:szCs w:val="20"/>
          <w:color w:val="auto"/>
        </w:rPr>
      </w:pPr>
      <w:r>
        <w:rPr>
          <w:rFonts w:ascii="Arial" w:cs="Arial" w:eastAsia="Arial" w:hAnsi="Arial"/>
          <w:sz w:val="21"/>
          <w:szCs w:val="21"/>
          <w:color w:val="auto"/>
        </w:rPr>
        <w:t>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90"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95" w:lineRule="exact"/>
        <w:rPr>
          <w:sz w:val="20"/>
          <w:szCs w:val="20"/>
          <w:color w:val="auto"/>
        </w:rPr>
      </w:pPr>
    </w:p>
    <w:p>
      <w:pPr>
        <w:jc w:val="both"/>
        <w:ind w:firstLine="656"/>
        <w:spacing w:after="0" w:line="243" w:lineRule="auto"/>
        <w:tabs>
          <w:tab w:leader="none" w:pos="943" w:val="left"/>
        </w:tabs>
        <w:numPr>
          <w:ilvl w:val="1"/>
          <w:numId w:val="41"/>
        </w:numPr>
        <w:rPr>
          <w:rFonts w:ascii="Arial" w:cs="Arial" w:eastAsia="Arial" w:hAnsi="Arial"/>
          <w:sz w:val="21"/>
          <w:szCs w:val="21"/>
          <w:color w:val="auto"/>
        </w:rPr>
      </w:pPr>
      <w:r>
        <w:rPr>
          <w:rFonts w:ascii="Arial" w:cs="Arial" w:eastAsia="Arial" w:hAnsi="Arial"/>
          <w:sz w:val="21"/>
          <w:szCs w:val="21"/>
          <w:color w:val="auto"/>
        </w:rPr>
        <w:t>In addition to the relief described in any other agreement that governs your noncompetition with the Company, your nonsolicitation of the Company’s employees, customers, suppliers, business partners and vendors, and/or your conduct with respect to the Company’s trade secrets and proprietary and confidential information, if the CEO determines, in his sole judgment, that you have violated the terms of any such agreement or you have engaged in an act that violates subsection 11.b.1. of this Agreement, or you are terminated for Cause (as defined in the Plan) or you voluntarily terminate your employment with less than a 60-day notice period, (i) any Restricted Stock Units and Additional Restricted Stock Units that have not vested under this Agreement shall immediately be cancelled, and you shall forfeit any rights you have with respect to such Units as of the date of the CEO’s determination or the date of your Termination of Service for Cause or voluntary Termination of Service, as applicable, and (ii) you shall immediately deliver to the Company Shares equal in value to the Restricted Stock Units and Additional Restricted Stock Units you received during the period beginning twelve (12) months prior to your Termination of Service and ending on (x) the date of the CEO’s determination in the case of a violation other than for a Termination of Service for Cause or voluntary termination without sufficient notice, or (y) the date of your Termination of Service in the case of a Termination of Service for Cause or voluntary termination without sufficient notice, as applicable.</w:t>
      </w:r>
    </w:p>
    <w:p>
      <w:pPr>
        <w:spacing w:after="0" w:line="113" w:lineRule="exact"/>
        <w:rPr>
          <w:rFonts w:ascii="Arial" w:cs="Arial" w:eastAsia="Arial" w:hAnsi="Arial"/>
          <w:sz w:val="21"/>
          <w:szCs w:val="21"/>
          <w:color w:val="auto"/>
        </w:rPr>
      </w:pPr>
    </w:p>
    <w:p>
      <w:pPr>
        <w:jc w:val="both"/>
        <w:ind w:firstLine="656"/>
        <w:spacing w:after="0" w:line="236" w:lineRule="auto"/>
        <w:tabs>
          <w:tab w:leader="none" w:pos="894" w:val="left"/>
        </w:tabs>
        <w:numPr>
          <w:ilvl w:val="1"/>
          <w:numId w:val="41"/>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10" w:lineRule="exact"/>
        <w:rPr>
          <w:rFonts w:ascii="Arial" w:cs="Arial" w:eastAsia="Arial" w:hAnsi="Arial"/>
          <w:sz w:val="22"/>
          <w:szCs w:val="22"/>
          <w:color w:val="auto"/>
        </w:rPr>
      </w:pPr>
    </w:p>
    <w:p>
      <w:pPr>
        <w:jc w:val="both"/>
        <w:ind w:firstLine="8"/>
        <w:spacing w:after="0" w:line="234" w:lineRule="auto"/>
        <w:tabs>
          <w:tab w:leader="none" w:pos="414"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Restrictions on Payment of Shares. </w:t>
      </w:r>
      <w:r>
        <w:rPr>
          <w:rFonts w:ascii="Arial" w:cs="Arial" w:eastAsia="Arial" w:hAnsi="Arial"/>
          <w:sz w:val="22"/>
          <w:szCs w:val="22"/>
          <w:color w:val="auto"/>
        </w:rPr>
        <w:t>Payment of Shares for your Restricted Stock Units and Additional</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Units is subject to the conditions that, to the extent required at the time of issuance or delivery, (i) the Shares underlying the Restricted Stock Units and Additional Restricted Stock Units shall be duly listed, upon official notice of issuance, upon The Nasdaq Stock Market LLC (“Nasdaq”), and (ii) a Registration Statement under the Securities Act of 1933 with respect to the Shares shall be effective. The Company shall not be required to deliver any Shares until all applicable federal and state laws and regulations have been complied with and all legal matters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9"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with the issuance and delivery of the Shares have been approved by counsel for the Company.</w:t>
      </w:r>
    </w:p>
    <w:p>
      <w:pPr>
        <w:spacing w:after="0" w:line="137" w:lineRule="exact"/>
        <w:rPr>
          <w:sz w:val="20"/>
          <w:szCs w:val="20"/>
          <w:color w:val="auto"/>
        </w:rPr>
      </w:pPr>
    </w:p>
    <w:p>
      <w:pPr>
        <w:ind w:firstLine="8"/>
        <w:spacing w:after="0" w:line="248" w:lineRule="auto"/>
        <w:tabs>
          <w:tab w:leader="none" w:pos="401"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Adjustments</w:t>
      </w:r>
      <w:r>
        <w:rPr>
          <w:rFonts w:ascii="Arial" w:cs="Arial" w:eastAsia="Arial" w:hAnsi="Arial"/>
          <w:sz w:val="22"/>
          <w:szCs w:val="22"/>
          <w:color w:val="auto"/>
        </w:rPr>
        <w:t>. Any adjustments to the Restricted Stock Units and Additional Restricted Stock Units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Section 5.4 of the Plan.</w:t>
      </w:r>
    </w:p>
    <w:p>
      <w:pPr>
        <w:spacing w:after="0" w:line="98" w:lineRule="exact"/>
        <w:rPr>
          <w:rFonts w:ascii="Arial" w:cs="Arial" w:eastAsia="Arial" w:hAnsi="Arial"/>
          <w:sz w:val="22"/>
          <w:szCs w:val="22"/>
          <w:color w:val="auto"/>
        </w:rPr>
      </w:pPr>
    </w:p>
    <w:p>
      <w:pPr>
        <w:jc w:val="both"/>
        <w:ind w:firstLine="8"/>
        <w:spacing w:after="0" w:line="237" w:lineRule="auto"/>
        <w:tabs>
          <w:tab w:leader="none" w:pos="360"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 xml:space="preserve">Disposition of Securities. </w:t>
      </w:r>
      <w:r>
        <w:rPr>
          <w:rFonts w:ascii="Arial" w:cs="Arial" w:eastAsia="Arial" w:hAnsi="Arial"/>
          <w:sz w:val="22"/>
          <w:szCs w:val="22"/>
          <w:color w:val="auto"/>
        </w:rPr>
        <w:t>By accepting the Award, you acknowledge that you have read and understand (i)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policy, and are aware of and understand your obligations under applicable securities laws in respect of trading in the Company’s securities, and (ii) the Company’s stock ownership guidelines as they apply to this Award. The Company shall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w:t>
      </w:r>
    </w:p>
    <w:p>
      <w:pPr>
        <w:spacing w:after="0" w:line="94" w:lineRule="exact"/>
        <w:rPr>
          <w:rFonts w:ascii="Arial" w:cs="Arial" w:eastAsia="Arial" w:hAnsi="Arial"/>
          <w:sz w:val="22"/>
          <w:szCs w:val="22"/>
          <w:color w:val="auto"/>
        </w:rPr>
      </w:pPr>
    </w:p>
    <w:p>
      <w:pPr>
        <w:jc w:val="both"/>
        <w:ind w:firstLine="8"/>
        <w:spacing w:after="0" w:line="245" w:lineRule="auto"/>
        <w:tabs>
          <w:tab w:leader="none" w:pos="360" w:val="left"/>
        </w:tabs>
        <w:numPr>
          <w:ilvl w:val="0"/>
          <w:numId w:val="43"/>
        </w:numPr>
        <w:rPr>
          <w:rFonts w:ascii="Arial" w:cs="Arial" w:eastAsia="Arial" w:hAnsi="Arial"/>
          <w:sz w:val="21"/>
          <w:szCs w:val="21"/>
          <w:color w:val="auto"/>
        </w:rPr>
      </w:pPr>
      <w:r>
        <w:rPr>
          <w:rFonts w:ascii="Arial" w:cs="Arial" w:eastAsia="Arial" w:hAnsi="Arial"/>
          <w:sz w:val="21"/>
          <w:szCs w:val="21"/>
          <w:b w:val="1"/>
          <w:bCs w:val="1"/>
          <w:color w:val="auto"/>
        </w:rPr>
        <w:t xml:space="preserve">Plan Terms Govern. </w:t>
      </w:r>
      <w:r>
        <w:rPr>
          <w:rFonts w:ascii="Arial" w:cs="Arial" w:eastAsia="Arial" w:hAnsi="Arial"/>
          <w:sz w:val="21"/>
          <w:szCs w:val="21"/>
          <w:color w:val="auto"/>
        </w:rPr>
        <w:t>The vesting and redemption of Restricted Stock Units or Additional 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the disposition of any Shares received for Restricted Stock Units or Additional Restricted Stock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w:t>
      </w:r>
    </w:p>
    <w:p>
      <w:pPr>
        <w:spacing w:after="0" w:line="106" w:lineRule="exact"/>
        <w:rPr>
          <w:rFonts w:ascii="Arial" w:cs="Arial" w:eastAsia="Arial" w:hAnsi="Arial"/>
          <w:sz w:val="21"/>
          <w:szCs w:val="21"/>
          <w:color w:val="auto"/>
        </w:rPr>
      </w:pPr>
    </w:p>
    <w:p>
      <w:pPr>
        <w:ind w:left="360" w:hanging="352"/>
        <w:spacing w:after="0"/>
        <w:tabs>
          <w:tab w:leader="none" w:pos="360"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Personal Data.</w:t>
      </w:r>
    </w:p>
    <w:p>
      <w:pPr>
        <w:spacing w:after="0" w:line="14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a. By entering into this Agreement, and as a condition of the grant of the Restricted Stock Units, you expressly consent to the collection, use, and transfer of personal data as described in this Section to the full extent permitted by and in full compliance with applicable law.</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 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Stock Units or other entitlement to shares awarded, canceled, exercised, vested, unvested, or outstanding in your favor, for the purpose of managing and administering the Plan (“Data”).</w:t>
      </w:r>
    </w:p>
    <w:p>
      <w:pPr>
        <w:spacing w:after="0" w:line="96" w:lineRule="exact"/>
        <w:rPr>
          <w:sz w:val="20"/>
          <w:szCs w:val="20"/>
          <w:color w:val="auto"/>
        </w:rPr>
      </w:pPr>
    </w:p>
    <w:p>
      <w:pPr>
        <w:jc w:val="both"/>
        <w:spacing w:after="0"/>
        <w:rPr>
          <w:sz w:val="20"/>
          <w:szCs w:val="20"/>
          <w:color w:val="auto"/>
        </w:rPr>
      </w:pPr>
      <w:r>
        <w:rPr>
          <w:rFonts w:ascii="Arial" w:cs="Arial" w:eastAsia="Arial" w:hAnsi="Arial"/>
          <w:sz w:val="22"/>
          <w:szCs w:val="22"/>
          <w:color w:val="auto"/>
        </w:rPr>
        <w:t>c. You further understand that part or all of your Data may be also held by the Company or its Affiliates, pursuant to a transfer made in the past with your consent, in respect of any previous grant of Restricted Stock Units or awards, which was made for the same purposes of managing and administering of previous award/incentive plans, or for other purposes.</w:t>
      </w:r>
    </w:p>
    <w:p>
      <w:pPr>
        <w:spacing w:after="0" w:line="9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d. You further understand that your local employer will transfer Data to the Company or its Affiliates among themselves as necessary for the purposes of implementation, administration, and management of your participation in the Plan, and that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9" w:right="339" w:bottom="1440" w:gutter="0" w:footer="0" w:header="0"/>
        </w:sectPr>
      </w:pPr>
    </w:p>
    <w:bookmarkStart w:id="67" w:name="page68"/>
    <w:bookmarkEnd w:id="67"/>
    <w:p>
      <w:pPr>
        <w:jc w:val="both"/>
        <w:spacing w:after="0" w:line="259" w:lineRule="auto"/>
        <w:rPr>
          <w:sz w:val="20"/>
          <w:szCs w:val="20"/>
          <w:color w:val="auto"/>
        </w:rPr>
      </w:pPr>
      <w:r>
        <w:rPr>
          <w:rFonts w:ascii="Arial" w:cs="Arial" w:eastAsia="Arial" w:hAnsi="Arial"/>
          <w:sz w:val="22"/>
          <w:szCs w:val="22"/>
          <w:color w:val="auto"/>
        </w:rPr>
        <w:t>or its Affiliates may transfer data among themselves, and/or each, in turn, further transfer Data to any third parties assisting the Company in the implementation, administration, and management of the Plan (“Data Recipients”).</w:t>
      </w:r>
    </w:p>
    <w:p>
      <w:pPr>
        <w:spacing w:after="0" w:line="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 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 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g. 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employment or after your Termination of Service.</w:t>
      </w:r>
    </w:p>
    <w:p>
      <w:pPr>
        <w:spacing w:after="0" w:line="110" w:lineRule="exact"/>
        <w:rPr>
          <w:sz w:val="20"/>
          <w:szCs w:val="20"/>
          <w:color w:val="auto"/>
        </w:rPr>
      </w:pPr>
    </w:p>
    <w:p>
      <w:pPr>
        <w:ind w:firstLine="8"/>
        <w:spacing w:after="0" w:line="261" w:lineRule="auto"/>
        <w:tabs>
          <w:tab w:leader="none" w:pos="3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Discretionary Nature and Acceptance of Award. </w:t>
      </w:r>
      <w:r>
        <w:rPr>
          <w:rFonts w:ascii="Arial" w:cs="Arial" w:eastAsia="Arial" w:hAnsi="Arial"/>
          <w:sz w:val="22"/>
          <w:szCs w:val="22"/>
          <w:color w:val="auto"/>
        </w:rPr>
        <w:t>By accepting this Award, you agree to be bound by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 and acknowledge that:</w:t>
      </w:r>
    </w:p>
    <w:p>
      <w:pPr>
        <w:spacing w:after="0" w:line="8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a. The Company (and not your local employer) is granting your Restricted Stock Units and Additional Restricted Stock Units. Furthermore, this Agreement is not derived from any preexisting labor relationship between you and the Company, but rather from a mercantile relationship.</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b. The Company may administer the Plan from outside your country of residence and United States law will govern all Restricted Stock Units and Additional Restricted Stock Units granted under the Plan.</w:t>
      </w:r>
    </w:p>
    <w:p>
      <w:pPr>
        <w:spacing w:after="0" w:line="75"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c. Benefits and rights provided under the Plan are wholly discretionary and, although provided by the Company, do not constitute regular or periodic payments.</w:t>
      </w:r>
    </w:p>
    <w:p>
      <w:pPr>
        <w:spacing w:after="0" w:line="8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 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9" w:right="3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to have any rights under, or ceasing to be entitled to any rights under, the Plan as a result of such termination.</w:t>
      </w:r>
    </w:p>
    <w:p>
      <w:pPr>
        <w:spacing w:after="0" w:line="1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 The grant of Restricted Stock Units and Additional Restricted Stock Units hereunder, and any future grant of Restricted Stock Units or Additional Restricted Stock Units under the Plan, is entirely voluntary, and at the complete discretion of the Company. Neither the grant of the Restricted Stock Units, the Additional Restricted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f. 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g. Participation in the Plan will not be deemed to constitute or amend, and will not be deemed by you to constitute or amend, an employment or labor relationship of any kind with the Company.</w:t>
      </w:r>
    </w:p>
    <w:p>
      <w:pPr>
        <w:spacing w:after="0" w:line="75"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h. The future value of the Shares subject to the Restricted Stock Units and Additional Restricted Stock Units is unknown, indeterminable and cannot be predicted with certainty.</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i. Neither the Company, your local employer nor any Affiliate shall be liable for any foreign exchange rate fluctuation between your local currency and the United States Dollar that may affect the value of the Restricted Stock Units, the Additional Restricted Stock Units or of any amounts due to you pursuant to the settlement of the Restricted Stock Units or the Additional Restricted Stock Units or the subsequent sale of any Shares acquired upon settlement.</w:t>
      </w:r>
    </w:p>
    <w:p>
      <w:pPr>
        <w:spacing w:after="0" w:line="8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j. Unless otherwise agreed with the Company in writing, the Restricted Stock Units, the Additional Restricted Stock Units and the underlying Shares, and the income from and value of same, are not granted as consideration for, or in connection with, the service you may provide as a director of a subsidiary of the Company.</w:t>
      </w:r>
    </w:p>
    <w:p>
      <w:pPr>
        <w:spacing w:after="0" w:line="10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k. The Restricted Stock Units, the Additional Restricted Stock Units and the underlying Shares, and the income from and value of same, are not intended to replace any pension rights or compensation.</w:t>
      </w:r>
    </w:p>
    <w:p>
      <w:pPr>
        <w:spacing w:after="0" w:line="100" w:lineRule="exact"/>
        <w:rPr>
          <w:sz w:val="20"/>
          <w:szCs w:val="20"/>
          <w:color w:val="auto"/>
        </w:rPr>
      </w:pPr>
    </w:p>
    <w:p>
      <w:pPr>
        <w:jc w:val="both"/>
        <w:ind w:firstLine="8"/>
        <w:spacing w:after="0" w:line="234" w:lineRule="auto"/>
        <w:tabs>
          <w:tab w:leader="none" w:pos="3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Limitations. </w:t>
      </w:r>
      <w:r>
        <w:rPr>
          <w:rFonts w:ascii="Arial" w:cs="Arial" w:eastAsia="Arial" w:hAnsi="Arial"/>
          <w:sz w:val="22"/>
          <w:szCs w:val="22"/>
          <w:color w:val="auto"/>
        </w:rPr>
        <w:t>Nothing in this Agreement or the Plan gives you any right to continue in the employ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or any of its Affiliates or to interfere in any way with the right of the Company or any Affiliate to terminate your employment at any time. Payment of your Restricted Stock Units and Additional Restricted Stock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Stock Units or Additional Restricted Stock Units until Shares are actually delivered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9" w:right="339" w:bottom="1440" w:gutter="0" w:footer="0" w:header="0"/>
        </w:sectPr>
      </w:pPr>
    </w:p>
    <w:bookmarkStart w:id="69" w:name="page70"/>
    <w:bookmarkEnd w:id="69"/>
    <w:p>
      <w:pPr>
        <w:jc w:val="both"/>
        <w:ind w:firstLine="8"/>
        <w:spacing w:after="0" w:line="263" w:lineRule="auto"/>
        <w:tabs>
          <w:tab w:leader="none" w:pos="360" w:val="left"/>
        </w:tabs>
        <w:numPr>
          <w:ilvl w:val="0"/>
          <w:numId w:val="46"/>
        </w:numPr>
        <w:rPr>
          <w:rFonts w:ascii="Arial" w:cs="Arial" w:eastAsia="Arial" w:hAnsi="Arial"/>
          <w:sz w:val="21"/>
          <w:szCs w:val="21"/>
          <w:color w:val="auto"/>
        </w:rPr>
      </w:pPr>
      <w:r>
        <w:rPr>
          <w:rFonts w:ascii="Arial" w:cs="Arial" w:eastAsia="Arial" w:hAnsi="Arial"/>
          <w:sz w:val="21"/>
          <w:szCs w:val="21"/>
          <w:b w:val="1"/>
          <w:bCs w:val="1"/>
          <w:color w:val="auto"/>
        </w:rPr>
        <w:t xml:space="preserve">Incorporation of Other Agreements. </w:t>
      </w:r>
      <w:r>
        <w:rPr>
          <w:rFonts w:ascii="Arial" w:cs="Arial" w:eastAsia="Arial" w:hAnsi="Arial"/>
          <w:sz w:val="21"/>
          <w:szCs w:val="21"/>
          <w:color w:val="auto"/>
        </w:rPr>
        <w:t>This Agreement and the Plan constitute the entire understanding between</w:t>
      </w:r>
      <w:r>
        <w:rPr>
          <w:rFonts w:ascii="Arial" w:cs="Arial" w:eastAsia="Arial" w:hAnsi="Arial"/>
          <w:sz w:val="21"/>
          <w:szCs w:val="21"/>
          <w:b w:val="1"/>
          <w:bCs w:val="1"/>
          <w:color w:val="auto"/>
        </w:rPr>
        <w:t xml:space="preserve"> </w:t>
      </w:r>
      <w:r>
        <w:rPr>
          <w:rFonts w:ascii="Arial" w:cs="Arial" w:eastAsia="Arial" w:hAnsi="Arial"/>
          <w:sz w:val="21"/>
          <w:szCs w:val="21"/>
          <w:color w:val="auto"/>
        </w:rPr>
        <w:t>you and the Company regarding the Restricted Stock Units. This Agreement supersedes any prior agreements, commitments or negotiations concerning the Restricted Stock Units and the Additional Restricted Stock Units.</w:t>
      </w:r>
    </w:p>
    <w:p>
      <w:pPr>
        <w:spacing w:after="0" w:line="70" w:lineRule="exact"/>
        <w:rPr>
          <w:rFonts w:ascii="Arial" w:cs="Arial" w:eastAsia="Arial" w:hAnsi="Arial"/>
          <w:sz w:val="21"/>
          <w:szCs w:val="21"/>
          <w:color w:val="auto"/>
        </w:rPr>
      </w:pPr>
    </w:p>
    <w:p>
      <w:pPr>
        <w:jc w:val="both"/>
        <w:ind w:firstLine="8"/>
        <w:spacing w:after="0"/>
        <w:tabs>
          <w:tab w:leader="none" w:pos="374"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spacing w:after="0" w:line="108" w:lineRule="exact"/>
        <w:rPr>
          <w:rFonts w:ascii="Arial" w:cs="Arial" w:eastAsia="Arial" w:hAnsi="Arial"/>
          <w:sz w:val="22"/>
          <w:szCs w:val="22"/>
          <w:color w:val="auto"/>
        </w:rPr>
      </w:pPr>
    </w:p>
    <w:p>
      <w:pPr>
        <w:jc w:val="both"/>
        <w:ind w:firstLine="8"/>
        <w:spacing w:after="0" w:line="239" w:lineRule="auto"/>
        <w:tabs>
          <w:tab w:leader="none" w:pos="360"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this Agreement, and all determinations made and actions taken under the Plan or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governed by the internal substantive laws, and not the choice of law rules, of the State of Delaware and construed accordingly, to the extent not superseded by applicable U.S. federal law.</w:t>
      </w:r>
    </w:p>
    <w:p>
      <w:pPr>
        <w:spacing w:after="0" w:line="108" w:lineRule="exact"/>
        <w:rPr>
          <w:rFonts w:ascii="Arial" w:cs="Arial" w:eastAsia="Arial" w:hAnsi="Arial"/>
          <w:sz w:val="22"/>
          <w:szCs w:val="22"/>
          <w:color w:val="auto"/>
        </w:rPr>
      </w:pPr>
    </w:p>
    <w:p>
      <w:pPr>
        <w:jc w:val="both"/>
        <w:ind w:firstLine="8"/>
        <w:spacing w:after="0" w:line="245" w:lineRule="auto"/>
        <w:tabs>
          <w:tab w:leader="none" w:pos="387"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Agreement Changes. </w:t>
      </w:r>
      <w:r>
        <w:rPr>
          <w:rFonts w:ascii="Arial" w:cs="Arial" w:eastAsia="Arial" w:hAnsi="Arial"/>
          <w:sz w:val="22"/>
          <w:szCs w:val="22"/>
          <w:color w:val="auto"/>
        </w:rPr>
        <w:t>The Company reserves the right to change the terms of this Agreement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your consent to the extent necessary or desirable to comply with the requirements of Code section 409A, the Treasury regulations and other guidance thereunder.</w:t>
      </w:r>
    </w:p>
    <w:p>
      <w:pPr>
        <w:spacing w:after="0" w:line="89" w:lineRule="exact"/>
        <w:rPr>
          <w:rFonts w:ascii="Arial" w:cs="Arial" w:eastAsia="Arial" w:hAnsi="Arial"/>
          <w:sz w:val="22"/>
          <w:szCs w:val="22"/>
          <w:color w:val="auto"/>
        </w:rPr>
      </w:pPr>
    </w:p>
    <w:p>
      <w:pPr>
        <w:jc w:val="both"/>
        <w:ind w:firstLine="8"/>
        <w:spacing w:after="0" w:line="238" w:lineRule="auto"/>
        <w:tabs>
          <w:tab w:leader="none" w:pos="360"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Acknowledgements and Acceptance. </w:t>
      </w:r>
      <w:r>
        <w:rPr>
          <w:rFonts w:ascii="Arial" w:cs="Arial" w:eastAsia="Arial" w:hAnsi="Arial"/>
          <w:sz w:val="22"/>
          <w:szCs w:val="22"/>
          <w:color w:val="auto"/>
        </w:rPr>
        <w:t>By accepting this Agreement, you agree that: (i) you have carefully read,</w:t>
      </w:r>
      <w:r>
        <w:rPr>
          <w:rFonts w:ascii="Arial" w:cs="Arial" w:eastAsia="Arial" w:hAnsi="Arial"/>
          <w:sz w:val="22"/>
          <w:szCs w:val="22"/>
          <w:b w:val="1"/>
          <w:bCs w:val="1"/>
          <w:color w:val="auto"/>
        </w:rPr>
        <w:t xml:space="preserve"> </w:t>
      </w:r>
      <w:r>
        <w:rPr>
          <w:rFonts w:ascii="Arial" w:cs="Arial" w:eastAsia="Arial" w:hAnsi="Arial"/>
          <w:sz w:val="22"/>
          <w:szCs w:val="22"/>
          <w:color w:val="auto"/>
        </w:rPr>
        <w:t>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To retain this Award, you must accept it on the Morgan Stanley website.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Date Accepted: [ACCEPTANCE_DATE]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7"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22"/>
          <w:szCs w:val="22"/>
          <w:b w:val="1"/>
          <w:bCs w:val="1"/>
          <w:color w:val="auto"/>
        </w:rPr>
        <w:t>VESTING SCHEDULE TABLE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[VESTING PROVISIONS CONSISTENT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9019"/>
          </w:cols>
          <w:pgMar w:left="1440" w:top="1407"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10.15</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US Officers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340" w:right="2680"/>
        <w:spacing w:after="0" w:line="386" w:lineRule="auto"/>
        <w:rPr>
          <w:sz w:val="20"/>
          <w:szCs w:val="20"/>
          <w:color w:val="auto"/>
        </w:rPr>
      </w:pPr>
      <w:r>
        <w:rPr>
          <w:rFonts w:ascii="Arial" w:cs="Arial" w:eastAsia="Arial" w:hAnsi="Arial"/>
          <w:sz w:val="22"/>
          <w:szCs w:val="22"/>
          <w:b w:val="1"/>
          <w:bCs w:val="1"/>
          <w:color w:val="auto"/>
        </w:rPr>
        <w:t>2026 STOCK INCENTIVE PLAN OF HONEYWELL AEROSPACE INC. AND ITS AFFILIATES STOCK OPTION AWARD AGREEMENT</w:t>
      </w:r>
    </w:p>
    <w:p>
      <w:pPr>
        <w:spacing w:after="0" w:line="280" w:lineRule="exact"/>
        <w:rPr>
          <w:sz w:val="20"/>
          <w:szCs w:val="20"/>
          <w:color w:val="auto"/>
        </w:rPr>
      </w:pPr>
    </w:p>
    <w:p>
      <w:pPr>
        <w:spacing w:after="0"/>
        <w:rPr>
          <w:sz w:val="20"/>
          <w:szCs w:val="20"/>
          <w:color w:val="auto"/>
        </w:rPr>
      </w:pPr>
      <w:r>
        <w:rPr>
          <w:rFonts w:ascii="Arial" w:cs="Arial" w:eastAsia="Arial" w:hAnsi="Arial"/>
          <w:sz w:val="21"/>
          <w:szCs w:val="21"/>
          <w:color w:val="auto"/>
        </w:rPr>
        <w:t>STOCK OPTION AWARD AGREEMENT made as of [DATE] (the “Grant Date”), between Honeywell Aerospace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(the “Company”) and [EMPLOYEE NAME] (“Participant”).</w:t>
      </w:r>
    </w:p>
    <w:p>
      <w:pPr>
        <w:spacing w:after="0" w:line="103" w:lineRule="exact"/>
        <w:rPr>
          <w:sz w:val="20"/>
          <w:szCs w:val="20"/>
          <w:color w:val="auto"/>
        </w:rPr>
      </w:pPr>
    </w:p>
    <w:p>
      <w:pPr>
        <w:jc w:val="both"/>
        <w:ind w:firstLine="8"/>
        <w:spacing w:after="0" w:line="245" w:lineRule="auto"/>
        <w:tabs>
          <w:tab w:leader="none" w:pos="254"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Grant of Option. </w:t>
      </w:r>
      <w:r>
        <w:rPr>
          <w:rFonts w:ascii="Arial" w:cs="Arial" w:eastAsia="Arial" w:hAnsi="Arial"/>
          <w:sz w:val="22"/>
          <w:szCs w:val="22"/>
          <w:color w:val="auto"/>
        </w:rPr>
        <w:t>The Company has granted you an Option to purchase [NUMBER]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provisions of this Agreement and the 2026 Stock Incentive Plan of Honeywell Aerospace Inc. and its Affiliates (the “Plan”). This Option is a nonqualified Option.</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Stock Option Plan Details for this grant can be found on the Morgan Stanley At Work website at atwork.morganstanley.com. The Company reserves the right to change or correct any information contained on the Morgan Stanley At Work website to reflect the terms of the Award actually made by the Company on the Grant Date or the Plan.</w:t>
      </w:r>
    </w:p>
    <w:p>
      <w:pPr>
        <w:spacing w:after="0" w:line="110" w:lineRule="exact"/>
        <w:rPr>
          <w:sz w:val="20"/>
          <w:szCs w:val="20"/>
          <w:color w:val="auto"/>
        </w:rPr>
      </w:pPr>
    </w:p>
    <w:p>
      <w:pPr>
        <w:ind w:firstLine="8"/>
        <w:spacing w:after="0" w:line="261" w:lineRule="auto"/>
        <w:tabs>
          <w:tab w:leader="none" w:pos="254"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 xml:space="preserve">Exercise Price. </w:t>
      </w:r>
      <w:r>
        <w:rPr>
          <w:rFonts w:ascii="Arial" w:cs="Arial" w:eastAsia="Arial" w:hAnsi="Arial"/>
          <w:sz w:val="22"/>
          <w:szCs w:val="22"/>
          <w:color w:val="auto"/>
        </w:rPr>
        <w:t>The purchase price of the Shares covered by the Option will be [DOLLAR AMOUNT] per Share</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Price” or “Grant Price”).</w:t>
      </w:r>
    </w:p>
    <w:p>
      <w:pPr>
        <w:spacing w:after="0" w:line="70" w:lineRule="exact"/>
        <w:rPr>
          <w:rFonts w:ascii="Arial" w:cs="Arial" w:eastAsia="Arial" w:hAnsi="Arial"/>
          <w:sz w:val="22"/>
          <w:szCs w:val="22"/>
          <w:color w:val="auto"/>
        </w:rPr>
      </w:pPr>
    </w:p>
    <w:p>
      <w:pPr>
        <w:jc w:val="both"/>
        <w:ind w:firstLine="8"/>
        <w:spacing w:after="0" w:line="245" w:lineRule="auto"/>
        <w:tabs>
          <w:tab w:leader="none" w:pos="267"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in the event of a Termination of Service due to death or Disability or as otherwise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8 of this Agreement relating to a Change in Control, the Option will become exercisable as provided on the attached Vesting Schedule Table, which is incorporated into, and made a part of, this Agreement.</w:t>
      </w:r>
    </w:p>
    <w:p>
      <w:pPr>
        <w:spacing w:after="0" w:line="102" w:lineRule="exact"/>
        <w:rPr>
          <w:rFonts w:ascii="Arial" w:cs="Arial" w:eastAsia="Arial" w:hAnsi="Arial"/>
          <w:sz w:val="22"/>
          <w:szCs w:val="22"/>
          <w:color w:val="auto"/>
        </w:rPr>
      </w:pPr>
    </w:p>
    <w:p>
      <w:pPr>
        <w:jc w:val="both"/>
        <w:ind w:firstLine="8"/>
        <w:spacing w:after="0" w:line="237" w:lineRule="auto"/>
        <w:tabs>
          <w:tab w:leader="none" w:pos="240"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 xml:space="preserve">Term of Option. </w:t>
      </w:r>
      <w:r>
        <w:rPr>
          <w:rFonts w:ascii="Arial" w:cs="Arial" w:eastAsia="Arial" w:hAnsi="Arial"/>
          <w:sz w:val="22"/>
          <w:szCs w:val="22"/>
          <w:color w:val="auto"/>
        </w:rPr>
        <w:t>The Option must be exercised prior to the close of The Nasdaq Stock Market LLC (“Nasdaq”) on</w:t>
      </w:r>
      <w:r>
        <w:rPr>
          <w:rFonts w:ascii="Arial" w:cs="Arial" w:eastAsia="Arial" w:hAnsi="Arial"/>
          <w:sz w:val="22"/>
          <w:szCs w:val="22"/>
          <w:b w:val="1"/>
          <w:bCs w:val="1"/>
          <w:color w:val="auto"/>
        </w:rPr>
        <w:t xml:space="preserve"> </w:t>
      </w:r>
      <w:r>
        <w:rPr>
          <w:rFonts w:ascii="Arial" w:cs="Arial" w:eastAsia="Arial" w:hAnsi="Arial"/>
          <w:sz w:val="22"/>
          <w:szCs w:val="22"/>
          <w:color w:val="auto"/>
        </w:rPr>
        <w:t>the day before the tenth anniversary of the Grant Date (the “Expiration Date”), subject to earlier termination or cancellation as provided below. If Nasdaq is not open for business on the Expiration Date, the Option will expire at the close of Nasdaq on the business day immediately preceding the Expiration Date.</w:t>
      </w:r>
    </w:p>
    <w:p>
      <w:pPr>
        <w:spacing w:after="0" w:line="107" w:lineRule="exact"/>
        <w:rPr>
          <w:rFonts w:ascii="Arial" w:cs="Arial" w:eastAsia="Arial" w:hAnsi="Arial"/>
          <w:sz w:val="22"/>
          <w:szCs w:val="22"/>
          <w:color w:val="auto"/>
        </w:rPr>
      </w:pPr>
    </w:p>
    <w:p>
      <w:pPr>
        <w:jc w:val="both"/>
        <w:ind w:firstLine="8"/>
        <w:spacing w:after="0"/>
        <w:tabs>
          <w:tab w:leader="none" w:pos="254"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 xml:space="preserve">Payment of Exercise Price. </w:t>
      </w:r>
      <w:r>
        <w:rPr>
          <w:rFonts w:ascii="Arial" w:cs="Arial" w:eastAsia="Arial" w:hAnsi="Arial"/>
          <w:sz w:val="22"/>
          <w:szCs w:val="22"/>
          <w:color w:val="auto"/>
        </w:rPr>
        <w:t>You may pay the Exercise Price by cash, certified check, bank draft, wire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postal or express money order, or any other alternative method specified in the Plan and expressly approved by the Committee. Notwithstanding the foregoing, you may not tender any form of payment that the Committee determines, in its sole and absolute discretion, could violate any law or regulation.</w:t>
      </w:r>
    </w:p>
    <w:p>
      <w:pPr>
        <w:spacing w:after="0" w:line="95" w:lineRule="exact"/>
        <w:rPr>
          <w:rFonts w:ascii="Arial" w:cs="Arial" w:eastAsia="Arial" w:hAnsi="Arial"/>
          <w:sz w:val="22"/>
          <w:szCs w:val="22"/>
          <w:color w:val="auto"/>
        </w:rPr>
      </w:pPr>
    </w:p>
    <w:p>
      <w:pPr>
        <w:jc w:val="both"/>
        <w:ind w:firstLine="8"/>
        <w:spacing w:after="0" w:line="237" w:lineRule="auto"/>
        <w:tabs>
          <w:tab w:leader="none" w:pos="267"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 xml:space="preserve">Exercise of Option. </w:t>
      </w:r>
      <w:r>
        <w:rPr>
          <w:rFonts w:ascii="Arial" w:cs="Arial" w:eastAsia="Arial" w:hAnsi="Arial"/>
          <w:sz w:val="22"/>
          <w:szCs w:val="22"/>
          <w:color w:val="auto"/>
        </w:rPr>
        <w:t>Subject to the terms and conditions of this Agreement, the Option may be exercised by</w:t>
      </w:r>
      <w:r>
        <w:rPr>
          <w:rFonts w:ascii="Arial" w:cs="Arial" w:eastAsia="Arial" w:hAnsi="Arial"/>
          <w:sz w:val="22"/>
          <w:szCs w:val="22"/>
          <w:b w:val="1"/>
          <w:bCs w:val="1"/>
          <w:color w:val="auto"/>
        </w:rPr>
        <w:t xml:space="preserve"> </w:t>
      </w:r>
      <w:r>
        <w:rPr>
          <w:rFonts w:ascii="Arial" w:cs="Arial" w:eastAsia="Arial" w:hAnsi="Arial"/>
          <w:sz w:val="22"/>
          <w:szCs w:val="22"/>
          <w:color w:val="auto"/>
        </w:rPr>
        <w:t>contacting the Company Stock Option Service Center, managed by Morgan Stanley, by telephone at 1-888-723-3391 or 1-801-617-7414, or on the internet at atwork.morganstanley.com. If the Option is exercised after your death, the Company will deliver Shares only after the Company has determined that the person exercising the Option is the duly appointed executor or administrator of your estate or the person to whom the Option has been transferred by your will or by the applicable laws of descent and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 xml:space="preserve">7. </w:t>
      </w:r>
      <w:r>
        <w:rPr>
          <w:rFonts w:ascii="Arial" w:cs="Arial" w:eastAsia="Arial" w:hAnsi="Arial"/>
          <w:sz w:val="22"/>
          <w:szCs w:val="22"/>
          <w:b w:val="1"/>
          <w:bCs w:val="1"/>
          <w:color w:val="auto"/>
        </w:rPr>
        <w:t>Termination, Retirement, Disability or Death.</w:t>
      </w:r>
      <w:r>
        <w:rPr>
          <w:rFonts w:ascii="Arial" w:cs="Arial" w:eastAsia="Arial" w:hAnsi="Arial"/>
          <w:sz w:val="22"/>
          <w:szCs w:val="22"/>
          <w:color w:val="auto"/>
        </w:rPr>
        <w:t xml:space="preserve"> The Option will vest and remain exercisable as follows:</w:t>
      </w: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7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Event</w:t>
            </w:r>
          </w:p>
        </w:tc>
        <w:tc>
          <w:tcPr>
            <w:tcW w:w="3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Vesting</w:t>
            </w:r>
          </w:p>
        </w:tc>
        <w:tc>
          <w:tcPr>
            <w:tcW w:w="37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Exercise</w:t>
            </w:r>
          </w:p>
        </w:tc>
      </w:tr>
      <w:tr>
        <w:trPr>
          <w:trHeight w:val="224"/>
        </w:trPr>
        <w:tc>
          <w:tcPr>
            <w:tcW w:w="3760" w:type="dxa"/>
            <w:vAlign w:val="bottom"/>
            <w:tcBorders>
              <w:left w:val="single" w:sz="8" w:color="auto"/>
              <w:right w:val="single" w:sz="8" w:color="auto"/>
            </w:tcBorders>
          </w:tcPr>
          <w:p>
            <w:pPr>
              <w:ind w:left="40"/>
              <w:spacing w:after="0" w:line="224" w:lineRule="exact"/>
              <w:rPr>
                <w:sz w:val="20"/>
                <w:szCs w:val="20"/>
                <w:color w:val="auto"/>
              </w:rPr>
            </w:pPr>
            <w:r>
              <w:rPr>
                <w:rFonts w:ascii="Arial" w:cs="Arial" w:eastAsia="Arial" w:hAnsi="Arial"/>
                <w:sz w:val="22"/>
                <w:szCs w:val="22"/>
                <w:color w:val="auto"/>
              </w:rPr>
              <w:t>Death</w:t>
            </w:r>
          </w:p>
        </w:tc>
        <w:tc>
          <w:tcPr>
            <w:tcW w:w="3740" w:type="dxa"/>
            <w:vAlign w:val="bottom"/>
            <w:tcBorders>
              <w:right w:val="single" w:sz="8" w:color="auto"/>
            </w:tcBorders>
          </w:tcPr>
          <w:p>
            <w:pPr>
              <w:spacing w:after="0" w:line="224" w:lineRule="exact"/>
              <w:rPr>
                <w:sz w:val="20"/>
                <w:szCs w:val="20"/>
                <w:color w:val="auto"/>
              </w:rPr>
            </w:pPr>
            <w:r>
              <w:rPr>
                <w:rFonts w:ascii="Arial" w:cs="Arial" w:eastAsia="Arial" w:hAnsi="Arial"/>
                <w:sz w:val="22"/>
                <w:szCs w:val="22"/>
                <w:color w:val="auto"/>
                <w:w w:val="97"/>
              </w:rPr>
              <w:t>Immediate vesting as of Termination of</w:t>
            </w:r>
          </w:p>
        </w:tc>
        <w:tc>
          <w:tcPr>
            <w:tcW w:w="3760" w:type="dxa"/>
            <w:vAlign w:val="bottom"/>
            <w:tcBorders>
              <w:right w:val="single" w:sz="8" w:color="auto"/>
            </w:tcBorders>
          </w:tcPr>
          <w:p>
            <w:pPr>
              <w:ind w:left="20"/>
              <w:spacing w:after="0" w:line="224" w:lineRule="exact"/>
              <w:rPr>
                <w:sz w:val="20"/>
                <w:szCs w:val="20"/>
                <w:color w:val="auto"/>
              </w:rPr>
            </w:pPr>
            <w:r>
              <w:rPr>
                <w:rFonts w:ascii="Arial" w:cs="Arial" w:eastAsia="Arial" w:hAnsi="Arial"/>
                <w:sz w:val="22"/>
                <w:szCs w:val="22"/>
                <w:color w:val="auto"/>
              </w:rPr>
              <w:t>Expires earlier of (i) original expiration</w:t>
            </w:r>
          </w:p>
        </w:tc>
      </w:tr>
      <w:tr>
        <w:trPr>
          <w:trHeight w:val="243"/>
        </w:trPr>
        <w:tc>
          <w:tcPr>
            <w:tcW w:w="3760" w:type="dxa"/>
            <w:vAlign w:val="bottom"/>
            <w:tcBorders>
              <w:left w:val="single" w:sz="8" w:color="auto"/>
              <w:right w:val="single" w:sz="8" w:color="auto"/>
            </w:tcBorders>
          </w:tcPr>
          <w:p>
            <w:pPr>
              <w:spacing w:after="0"/>
              <w:rPr>
                <w:sz w:val="21"/>
                <w:szCs w:val="21"/>
                <w:color w:val="auto"/>
              </w:rPr>
            </w:pPr>
          </w:p>
        </w:tc>
        <w:tc>
          <w:tcPr>
            <w:tcW w:w="37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Service due to death.</w:t>
            </w:r>
          </w:p>
        </w:tc>
        <w:tc>
          <w:tcPr>
            <w:tcW w:w="376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date, or (ii) 3 years after Termination</w:t>
            </w:r>
          </w:p>
        </w:tc>
      </w:tr>
      <w:tr>
        <w:trPr>
          <w:trHeight w:val="283"/>
        </w:trPr>
        <w:tc>
          <w:tcPr>
            <w:tcW w:w="37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Service.</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24"/>
        </w:trPr>
        <w:tc>
          <w:tcPr>
            <w:tcW w:w="3760" w:type="dxa"/>
            <w:vAlign w:val="bottom"/>
            <w:tcBorders>
              <w:left w:val="single" w:sz="8" w:color="auto"/>
              <w:right w:val="single" w:sz="8" w:color="auto"/>
            </w:tcBorders>
          </w:tcPr>
          <w:p>
            <w:pPr>
              <w:ind w:left="40"/>
              <w:spacing w:after="0" w:line="224" w:lineRule="exact"/>
              <w:rPr>
                <w:sz w:val="20"/>
                <w:szCs w:val="20"/>
                <w:color w:val="auto"/>
              </w:rPr>
            </w:pPr>
            <w:r>
              <w:rPr>
                <w:rFonts w:ascii="Arial" w:cs="Arial" w:eastAsia="Arial" w:hAnsi="Arial"/>
                <w:sz w:val="22"/>
                <w:szCs w:val="22"/>
                <w:color w:val="auto"/>
              </w:rPr>
              <w:t>Disability</w:t>
            </w:r>
          </w:p>
        </w:tc>
        <w:tc>
          <w:tcPr>
            <w:tcW w:w="3740" w:type="dxa"/>
            <w:vAlign w:val="bottom"/>
            <w:tcBorders>
              <w:right w:val="single" w:sz="8" w:color="auto"/>
            </w:tcBorders>
          </w:tcPr>
          <w:p>
            <w:pPr>
              <w:spacing w:after="0" w:line="224" w:lineRule="exact"/>
              <w:rPr>
                <w:sz w:val="20"/>
                <w:szCs w:val="20"/>
                <w:color w:val="auto"/>
              </w:rPr>
            </w:pPr>
            <w:r>
              <w:rPr>
                <w:rFonts w:ascii="Arial" w:cs="Arial" w:eastAsia="Arial" w:hAnsi="Arial"/>
                <w:sz w:val="22"/>
                <w:szCs w:val="22"/>
                <w:color w:val="auto"/>
                <w:w w:val="97"/>
              </w:rPr>
              <w:t>Immediate vesting as of Termination of</w:t>
            </w:r>
          </w:p>
        </w:tc>
        <w:tc>
          <w:tcPr>
            <w:tcW w:w="3760" w:type="dxa"/>
            <w:vAlign w:val="bottom"/>
            <w:tcBorders>
              <w:right w:val="single" w:sz="8" w:color="auto"/>
            </w:tcBorders>
          </w:tcPr>
          <w:p>
            <w:pPr>
              <w:ind w:left="20"/>
              <w:spacing w:after="0" w:line="224" w:lineRule="exact"/>
              <w:rPr>
                <w:sz w:val="20"/>
                <w:szCs w:val="20"/>
                <w:color w:val="auto"/>
              </w:rPr>
            </w:pPr>
            <w:r>
              <w:rPr>
                <w:rFonts w:ascii="Arial" w:cs="Arial" w:eastAsia="Arial" w:hAnsi="Arial"/>
                <w:sz w:val="22"/>
                <w:szCs w:val="22"/>
                <w:color w:val="auto"/>
              </w:rPr>
              <w:t>Expires earlier of (i) original expiration</w:t>
            </w:r>
          </w:p>
        </w:tc>
      </w:tr>
      <w:tr>
        <w:trPr>
          <w:trHeight w:val="243"/>
        </w:trPr>
        <w:tc>
          <w:tcPr>
            <w:tcW w:w="3760" w:type="dxa"/>
            <w:vAlign w:val="bottom"/>
            <w:tcBorders>
              <w:left w:val="single" w:sz="8" w:color="auto"/>
              <w:right w:val="single" w:sz="8" w:color="auto"/>
            </w:tcBorders>
          </w:tcPr>
          <w:p>
            <w:pPr>
              <w:spacing w:after="0"/>
              <w:rPr>
                <w:sz w:val="21"/>
                <w:szCs w:val="21"/>
                <w:color w:val="auto"/>
              </w:rPr>
            </w:pPr>
          </w:p>
        </w:tc>
        <w:tc>
          <w:tcPr>
            <w:tcW w:w="37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Service due to Disability.</w:t>
            </w:r>
          </w:p>
        </w:tc>
        <w:tc>
          <w:tcPr>
            <w:tcW w:w="376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date, or (ii) 3 years after Termination</w:t>
            </w:r>
          </w:p>
        </w:tc>
      </w:tr>
      <w:tr>
        <w:trPr>
          <w:trHeight w:val="283"/>
        </w:trPr>
        <w:tc>
          <w:tcPr>
            <w:tcW w:w="37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Service.</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24"/>
        </w:trPr>
        <w:tc>
          <w:tcPr>
            <w:tcW w:w="3760" w:type="dxa"/>
            <w:vAlign w:val="bottom"/>
            <w:tcBorders>
              <w:left w:val="single" w:sz="8" w:color="auto"/>
              <w:right w:val="single" w:sz="8" w:color="auto"/>
            </w:tcBorders>
          </w:tcPr>
          <w:p>
            <w:pPr>
              <w:ind w:left="40"/>
              <w:spacing w:after="0" w:line="224" w:lineRule="exact"/>
              <w:rPr>
                <w:sz w:val="20"/>
                <w:szCs w:val="20"/>
                <w:color w:val="auto"/>
              </w:rPr>
            </w:pPr>
            <w:r>
              <w:rPr>
                <w:rFonts w:ascii="Arial" w:cs="Arial" w:eastAsia="Arial" w:hAnsi="Arial"/>
                <w:sz w:val="22"/>
                <w:szCs w:val="22"/>
                <w:color w:val="auto"/>
              </w:rPr>
              <w:t>Retirement (Termination of Service</w:t>
            </w:r>
          </w:p>
        </w:tc>
        <w:tc>
          <w:tcPr>
            <w:tcW w:w="3740" w:type="dxa"/>
            <w:vAlign w:val="bottom"/>
            <w:tcBorders>
              <w:right w:val="single" w:sz="8" w:color="auto"/>
            </w:tcBorders>
          </w:tcPr>
          <w:p>
            <w:pPr>
              <w:spacing w:after="0" w:line="224" w:lineRule="exact"/>
              <w:rPr>
                <w:sz w:val="20"/>
                <w:szCs w:val="20"/>
                <w:color w:val="auto"/>
              </w:rPr>
            </w:pPr>
            <w:r>
              <w:rPr>
                <w:rFonts w:ascii="Arial" w:cs="Arial" w:eastAsia="Arial" w:hAnsi="Arial"/>
                <w:sz w:val="22"/>
                <w:szCs w:val="22"/>
                <w:color w:val="auto"/>
              </w:rPr>
              <w:t>Unvested Awards forfeited as of</w:t>
            </w:r>
          </w:p>
        </w:tc>
        <w:tc>
          <w:tcPr>
            <w:tcW w:w="3760" w:type="dxa"/>
            <w:vAlign w:val="bottom"/>
            <w:tcBorders>
              <w:right w:val="single" w:sz="8" w:color="auto"/>
            </w:tcBorders>
          </w:tcPr>
          <w:p>
            <w:pPr>
              <w:ind w:left="20"/>
              <w:spacing w:after="0" w:line="224" w:lineRule="exact"/>
              <w:rPr>
                <w:sz w:val="20"/>
                <w:szCs w:val="20"/>
                <w:color w:val="auto"/>
              </w:rPr>
            </w:pPr>
            <w:r>
              <w:rPr>
                <w:rFonts w:ascii="Arial" w:cs="Arial" w:eastAsia="Arial" w:hAnsi="Arial"/>
                <w:sz w:val="22"/>
                <w:szCs w:val="22"/>
                <w:color w:val="auto"/>
              </w:rPr>
              <w:t>Expires earlier of (i) original expiration</w:t>
            </w:r>
          </w:p>
        </w:tc>
      </w:tr>
      <w:tr>
        <w:trPr>
          <w:trHeight w:val="243"/>
        </w:trPr>
        <w:tc>
          <w:tcPr>
            <w:tcW w:w="376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because of retirement from active</w:t>
            </w:r>
          </w:p>
        </w:tc>
        <w:tc>
          <w:tcPr>
            <w:tcW w:w="37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Retirement.</w:t>
            </w:r>
          </w:p>
        </w:tc>
        <w:tc>
          <w:tcPr>
            <w:tcW w:w="376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date, or (ii) 3 years after Retirement.</w:t>
            </w:r>
          </w:p>
        </w:tc>
      </w:tr>
      <w:tr>
        <w:trPr>
          <w:trHeight w:val="243"/>
        </w:trPr>
        <w:tc>
          <w:tcPr>
            <w:tcW w:w="376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8"/>
              </w:rPr>
              <w:t>employment on or after age 55 and 10</w:t>
            </w:r>
          </w:p>
        </w:tc>
        <w:tc>
          <w:tcPr>
            <w:tcW w:w="3740" w:type="dxa"/>
            <w:vAlign w:val="bottom"/>
            <w:tcBorders>
              <w:right w:val="single" w:sz="8" w:color="auto"/>
            </w:tcBorders>
          </w:tcPr>
          <w:p>
            <w:pPr>
              <w:spacing w:after="0"/>
              <w:rPr>
                <w:sz w:val="21"/>
                <w:szCs w:val="21"/>
                <w:color w:val="auto"/>
              </w:rPr>
            </w:pPr>
          </w:p>
        </w:tc>
        <w:tc>
          <w:tcPr>
            <w:tcW w:w="3760" w:type="dxa"/>
            <w:vAlign w:val="bottom"/>
            <w:tcBorders>
              <w:right w:val="single" w:sz="8" w:color="auto"/>
            </w:tcBorders>
          </w:tcPr>
          <w:p>
            <w:pPr>
              <w:spacing w:after="0"/>
              <w:rPr>
                <w:sz w:val="21"/>
                <w:szCs w:val="21"/>
                <w:color w:val="auto"/>
              </w:rPr>
            </w:pPr>
          </w:p>
        </w:tc>
      </w:tr>
      <w:tr>
        <w:trPr>
          <w:trHeight w:val="283"/>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Years of Service)</w:t>
            </w:r>
          </w:p>
        </w:tc>
        <w:tc>
          <w:tcPr>
            <w:tcW w:w="3740" w:type="dxa"/>
            <w:vAlign w:val="bottom"/>
            <w:tcBorders>
              <w:right w:val="single" w:sz="8" w:color="auto"/>
            </w:tcBorders>
          </w:tcPr>
          <w:p>
            <w:pPr>
              <w:spacing w:after="0"/>
              <w:rPr>
                <w:sz w:val="24"/>
                <w:szCs w:val="24"/>
                <w:color w:val="auto"/>
              </w:rPr>
            </w:pPr>
          </w:p>
        </w:tc>
        <w:tc>
          <w:tcPr>
            <w:tcW w:w="3760" w:type="dxa"/>
            <w:vAlign w:val="bottom"/>
            <w:tcBorders>
              <w:right w:val="single" w:sz="8" w:color="auto"/>
            </w:tcBorders>
          </w:tcPr>
          <w:p>
            <w:pPr>
              <w:spacing w:after="0"/>
              <w:rPr>
                <w:sz w:val="24"/>
                <w:szCs w:val="24"/>
                <w:color w:val="auto"/>
              </w:rPr>
            </w:pP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24"/>
        </w:trPr>
        <w:tc>
          <w:tcPr>
            <w:tcW w:w="3760" w:type="dxa"/>
            <w:vAlign w:val="bottom"/>
            <w:tcBorders>
              <w:left w:val="single" w:sz="8" w:color="auto"/>
              <w:right w:val="single" w:sz="8" w:color="auto"/>
            </w:tcBorders>
          </w:tcPr>
          <w:p>
            <w:pPr>
              <w:ind w:left="40"/>
              <w:spacing w:after="0" w:line="224" w:lineRule="exact"/>
              <w:rPr>
                <w:sz w:val="20"/>
                <w:szCs w:val="20"/>
                <w:color w:val="auto"/>
              </w:rPr>
            </w:pPr>
            <w:r>
              <w:rPr>
                <w:rFonts w:ascii="Arial" w:cs="Arial" w:eastAsia="Arial" w:hAnsi="Arial"/>
                <w:sz w:val="22"/>
                <w:szCs w:val="22"/>
                <w:color w:val="auto"/>
              </w:rPr>
              <w:t>Voluntary termination with notice</w:t>
            </w:r>
          </w:p>
        </w:tc>
        <w:tc>
          <w:tcPr>
            <w:tcW w:w="3740" w:type="dxa"/>
            <w:vAlign w:val="bottom"/>
            <w:tcBorders>
              <w:right w:val="single" w:sz="8" w:color="auto"/>
            </w:tcBorders>
          </w:tcPr>
          <w:p>
            <w:pPr>
              <w:spacing w:after="0" w:line="224" w:lineRule="exact"/>
              <w:rPr>
                <w:sz w:val="20"/>
                <w:szCs w:val="20"/>
                <w:color w:val="auto"/>
              </w:rPr>
            </w:pPr>
            <w:r>
              <w:rPr>
                <w:rFonts w:ascii="Arial" w:cs="Arial" w:eastAsia="Arial" w:hAnsi="Arial"/>
                <w:sz w:val="22"/>
                <w:szCs w:val="22"/>
                <w:color w:val="auto"/>
              </w:rPr>
              <w:t>Unvested Awards forfeited as of</w:t>
            </w:r>
          </w:p>
        </w:tc>
        <w:tc>
          <w:tcPr>
            <w:tcW w:w="3760" w:type="dxa"/>
            <w:vAlign w:val="bottom"/>
            <w:tcBorders>
              <w:right w:val="single" w:sz="8" w:color="auto"/>
            </w:tcBorders>
          </w:tcPr>
          <w:p>
            <w:pPr>
              <w:ind w:left="20"/>
              <w:spacing w:after="0" w:line="224" w:lineRule="exact"/>
              <w:rPr>
                <w:sz w:val="20"/>
                <w:szCs w:val="20"/>
                <w:color w:val="auto"/>
              </w:rPr>
            </w:pPr>
            <w:r>
              <w:rPr>
                <w:rFonts w:ascii="Arial" w:cs="Arial" w:eastAsia="Arial" w:hAnsi="Arial"/>
                <w:sz w:val="22"/>
                <w:szCs w:val="22"/>
                <w:color w:val="auto"/>
              </w:rPr>
              <w:t>Expires earlier of (i) original expiration</w:t>
            </w:r>
          </w:p>
        </w:tc>
      </w:tr>
      <w:tr>
        <w:trPr>
          <w:trHeight w:val="283"/>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period of 60 days or more</w:t>
            </w:r>
          </w:p>
        </w:tc>
        <w:tc>
          <w:tcPr>
            <w:tcW w:w="374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Termination of Service.</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date, or (ii) 30 days after termination.</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24"/>
        </w:trPr>
        <w:tc>
          <w:tcPr>
            <w:tcW w:w="3760" w:type="dxa"/>
            <w:vAlign w:val="bottom"/>
            <w:tcBorders>
              <w:left w:val="single" w:sz="8" w:color="auto"/>
              <w:right w:val="single" w:sz="8" w:color="auto"/>
            </w:tcBorders>
          </w:tcPr>
          <w:p>
            <w:pPr>
              <w:ind w:left="40"/>
              <w:spacing w:after="0" w:line="224" w:lineRule="exact"/>
              <w:rPr>
                <w:sz w:val="20"/>
                <w:szCs w:val="20"/>
                <w:color w:val="auto"/>
              </w:rPr>
            </w:pPr>
            <w:r>
              <w:rPr>
                <w:rFonts w:ascii="Arial" w:cs="Arial" w:eastAsia="Arial" w:hAnsi="Arial"/>
                <w:sz w:val="22"/>
                <w:szCs w:val="22"/>
                <w:color w:val="auto"/>
              </w:rPr>
              <w:t>Voluntary termination with notice</w:t>
            </w:r>
          </w:p>
        </w:tc>
        <w:tc>
          <w:tcPr>
            <w:tcW w:w="3740" w:type="dxa"/>
            <w:vAlign w:val="bottom"/>
            <w:tcBorders>
              <w:right w:val="single" w:sz="8" w:color="auto"/>
            </w:tcBorders>
          </w:tcPr>
          <w:p>
            <w:pPr>
              <w:spacing w:after="0" w:line="224" w:lineRule="exact"/>
              <w:rPr>
                <w:sz w:val="20"/>
                <w:szCs w:val="20"/>
                <w:color w:val="auto"/>
              </w:rPr>
            </w:pPr>
            <w:r>
              <w:rPr>
                <w:rFonts w:ascii="Arial" w:cs="Arial" w:eastAsia="Arial" w:hAnsi="Arial"/>
                <w:sz w:val="22"/>
                <w:szCs w:val="22"/>
                <w:color w:val="auto"/>
              </w:rPr>
              <w:t>Unvested Awards forfeited as of</w:t>
            </w:r>
          </w:p>
        </w:tc>
        <w:tc>
          <w:tcPr>
            <w:tcW w:w="3760" w:type="dxa"/>
            <w:vAlign w:val="bottom"/>
            <w:tcBorders>
              <w:right w:val="single" w:sz="8" w:color="auto"/>
            </w:tcBorders>
          </w:tcPr>
          <w:p>
            <w:pPr>
              <w:ind w:left="20"/>
              <w:spacing w:after="0" w:line="224" w:lineRule="exact"/>
              <w:rPr>
                <w:sz w:val="20"/>
                <w:szCs w:val="20"/>
                <w:color w:val="auto"/>
              </w:rPr>
            </w:pPr>
            <w:r>
              <w:rPr>
                <w:rFonts w:ascii="Arial" w:cs="Arial" w:eastAsia="Arial" w:hAnsi="Arial"/>
                <w:sz w:val="22"/>
                <w:szCs w:val="22"/>
                <w:color w:val="auto"/>
                <w:w w:val="98"/>
              </w:rPr>
              <w:t>Vested Awards immediately cancelled.</w:t>
            </w:r>
          </w:p>
        </w:tc>
      </w:tr>
      <w:tr>
        <w:trPr>
          <w:trHeight w:val="283"/>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period of less than 60 days</w:t>
            </w:r>
          </w:p>
        </w:tc>
        <w:tc>
          <w:tcPr>
            <w:tcW w:w="374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Termination of Service.</w:t>
            </w:r>
          </w:p>
        </w:tc>
        <w:tc>
          <w:tcPr>
            <w:tcW w:w="3760" w:type="dxa"/>
            <w:vAlign w:val="bottom"/>
            <w:tcBorders>
              <w:right w:val="single" w:sz="8" w:color="auto"/>
            </w:tcBorders>
          </w:tcPr>
          <w:p>
            <w:pPr>
              <w:spacing w:after="0"/>
              <w:rPr>
                <w:sz w:val="24"/>
                <w:szCs w:val="24"/>
                <w:color w:val="auto"/>
              </w:rPr>
            </w:pP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24"/>
        </w:trPr>
        <w:tc>
          <w:tcPr>
            <w:tcW w:w="3760" w:type="dxa"/>
            <w:vAlign w:val="bottom"/>
            <w:tcBorders>
              <w:left w:val="single" w:sz="8" w:color="auto"/>
              <w:right w:val="single" w:sz="8" w:color="auto"/>
            </w:tcBorders>
          </w:tcPr>
          <w:p>
            <w:pPr>
              <w:ind w:left="40"/>
              <w:spacing w:after="0" w:line="224" w:lineRule="exact"/>
              <w:rPr>
                <w:sz w:val="20"/>
                <w:szCs w:val="20"/>
                <w:color w:val="auto"/>
              </w:rPr>
            </w:pPr>
            <w:r>
              <w:rPr>
                <w:rFonts w:ascii="Arial" w:cs="Arial" w:eastAsia="Arial" w:hAnsi="Arial"/>
                <w:sz w:val="22"/>
                <w:szCs w:val="22"/>
                <w:color w:val="auto"/>
              </w:rPr>
              <w:t>Involuntary termination not for Cause</w:t>
            </w:r>
          </w:p>
        </w:tc>
        <w:tc>
          <w:tcPr>
            <w:tcW w:w="3740" w:type="dxa"/>
            <w:vAlign w:val="bottom"/>
            <w:tcBorders>
              <w:right w:val="single" w:sz="8" w:color="auto"/>
            </w:tcBorders>
          </w:tcPr>
          <w:p>
            <w:pPr>
              <w:spacing w:after="0" w:line="224" w:lineRule="exact"/>
              <w:rPr>
                <w:sz w:val="20"/>
                <w:szCs w:val="20"/>
                <w:color w:val="auto"/>
              </w:rPr>
            </w:pPr>
            <w:r>
              <w:rPr>
                <w:rFonts w:ascii="Arial" w:cs="Arial" w:eastAsia="Arial" w:hAnsi="Arial"/>
                <w:sz w:val="22"/>
                <w:szCs w:val="22"/>
                <w:color w:val="auto"/>
              </w:rPr>
              <w:t>Unvested Awards forfeited as of</w:t>
            </w:r>
          </w:p>
        </w:tc>
        <w:tc>
          <w:tcPr>
            <w:tcW w:w="3760" w:type="dxa"/>
            <w:vAlign w:val="bottom"/>
            <w:tcBorders>
              <w:right w:val="single" w:sz="8" w:color="auto"/>
            </w:tcBorders>
          </w:tcPr>
          <w:p>
            <w:pPr>
              <w:ind w:left="20"/>
              <w:spacing w:after="0" w:line="224" w:lineRule="exact"/>
              <w:rPr>
                <w:sz w:val="20"/>
                <w:szCs w:val="20"/>
                <w:color w:val="auto"/>
              </w:rPr>
            </w:pPr>
            <w:r>
              <w:rPr>
                <w:rFonts w:ascii="Arial" w:cs="Arial" w:eastAsia="Arial" w:hAnsi="Arial"/>
                <w:sz w:val="22"/>
                <w:szCs w:val="22"/>
                <w:color w:val="auto"/>
              </w:rPr>
              <w:t>Expires earlier of (i) original expiration</w:t>
            </w:r>
          </w:p>
        </w:tc>
      </w:tr>
      <w:tr>
        <w:trPr>
          <w:trHeight w:val="283"/>
        </w:trPr>
        <w:tc>
          <w:tcPr>
            <w:tcW w:w="37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Termination of Service.</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date, or (ii) 1 year after termination.</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24"/>
        </w:trPr>
        <w:tc>
          <w:tcPr>
            <w:tcW w:w="3760" w:type="dxa"/>
            <w:vAlign w:val="bottom"/>
            <w:tcBorders>
              <w:left w:val="single" w:sz="8" w:color="auto"/>
              <w:right w:val="single" w:sz="8" w:color="auto"/>
            </w:tcBorders>
          </w:tcPr>
          <w:p>
            <w:pPr>
              <w:ind w:left="40"/>
              <w:spacing w:after="0" w:line="224" w:lineRule="exact"/>
              <w:rPr>
                <w:sz w:val="20"/>
                <w:szCs w:val="20"/>
                <w:color w:val="auto"/>
              </w:rPr>
            </w:pPr>
            <w:r>
              <w:rPr>
                <w:rFonts w:ascii="Arial" w:cs="Arial" w:eastAsia="Arial" w:hAnsi="Arial"/>
                <w:sz w:val="22"/>
                <w:szCs w:val="22"/>
                <w:color w:val="auto"/>
              </w:rPr>
              <w:t>Involuntary termination for Cause</w:t>
            </w:r>
          </w:p>
        </w:tc>
        <w:tc>
          <w:tcPr>
            <w:tcW w:w="3740" w:type="dxa"/>
            <w:vAlign w:val="bottom"/>
            <w:tcBorders>
              <w:right w:val="single" w:sz="8" w:color="auto"/>
            </w:tcBorders>
          </w:tcPr>
          <w:p>
            <w:pPr>
              <w:spacing w:after="0" w:line="224" w:lineRule="exact"/>
              <w:rPr>
                <w:sz w:val="20"/>
                <w:szCs w:val="20"/>
                <w:color w:val="auto"/>
              </w:rPr>
            </w:pPr>
            <w:r>
              <w:rPr>
                <w:rFonts w:ascii="Arial" w:cs="Arial" w:eastAsia="Arial" w:hAnsi="Arial"/>
                <w:sz w:val="22"/>
                <w:szCs w:val="22"/>
                <w:color w:val="auto"/>
              </w:rPr>
              <w:t>Unvested Awards forfeited as of</w:t>
            </w:r>
          </w:p>
        </w:tc>
        <w:tc>
          <w:tcPr>
            <w:tcW w:w="3760" w:type="dxa"/>
            <w:vAlign w:val="bottom"/>
            <w:tcBorders>
              <w:right w:val="single" w:sz="8" w:color="auto"/>
            </w:tcBorders>
          </w:tcPr>
          <w:p>
            <w:pPr>
              <w:ind w:left="20"/>
              <w:spacing w:after="0" w:line="224" w:lineRule="exact"/>
              <w:rPr>
                <w:sz w:val="20"/>
                <w:szCs w:val="20"/>
                <w:color w:val="auto"/>
              </w:rPr>
            </w:pPr>
            <w:r>
              <w:rPr>
                <w:rFonts w:ascii="Arial" w:cs="Arial" w:eastAsia="Arial" w:hAnsi="Arial"/>
                <w:sz w:val="22"/>
                <w:szCs w:val="22"/>
                <w:color w:val="auto"/>
                <w:w w:val="98"/>
              </w:rPr>
              <w:t>Vested Awards immediately cancelled.</w:t>
            </w:r>
          </w:p>
        </w:tc>
      </w:tr>
      <w:tr>
        <w:trPr>
          <w:trHeight w:val="283"/>
        </w:trPr>
        <w:tc>
          <w:tcPr>
            <w:tcW w:w="37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Termination of Service.</w:t>
            </w:r>
          </w:p>
        </w:tc>
        <w:tc>
          <w:tcPr>
            <w:tcW w:w="3760" w:type="dxa"/>
            <w:vAlign w:val="bottom"/>
            <w:tcBorders>
              <w:right w:val="single" w:sz="8" w:color="auto"/>
            </w:tcBorders>
          </w:tcPr>
          <w:p>
            <w:pPr>
              <w:spacing w:after="0"/>
              <w:rPr>
                <w:sz w:val="24"/>
                <w:szCs w:val="24"/>
                <w:color w:val="auto"/>
              </w:rPr>
            </w:pP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298"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Except as expressly provided herein, all rights hereunder shall cease to accrue as of the date of your Termination of Service with the Company and its Affiliates. You will forfeit the unvested portion of any award and all rights to continue vesting in awards shall cease as of the date of Termination of Service. Further, you will not be entitled to receive additional awards hereunder after Termination of Service.</w:t>
      </w:r>
    </w:p>
    <w:p>
      <w:pPr>
        <w:spacing w:after="0" w:line="203"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color w:val="auto"/>
        </w:rPr>
        <w:t>Notwithstanding the provisions related to Retirement described above, if you terminate employment with the Company and its Affiliates (i) not for Cause, and (ii) after you attain at least 70 points (actual age plus Years of Service, with minimum age 55), and (iii) after you provide the Company at least 120 days’ advance notice of your Termination of Service, and (iv) you comply with all applicable post-termination restrictive covenants, the following special provisions shall apply:</w:t>
      </w:r>
    </w:p>
    <w:p>
      <w:pPr>
        <w:spacing w:after="0" w:line="112" w:lineRule="exact"/>
        <w:rPr>
          <w:sz w:val="20"/>
          <w:szCs w:val="20"/>
          <w:color w:val="auto"/>
        </w:rPr>
      </w:pPr>
    </w:p>
    <w:p>
      <w:pPr>
        <w:jc w:val="both"/>
        <w:ind w:left="660" w:right="20" w:hanging="4"/>
        <w:spacing w:after="0" w:line="245" w:lineRule="auto"/>
        <w:tabs>
          <w:tab w:leader="none" w:pos="1022"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amount of the unvested Option that shall vest under this Section 7 shall equal (1) the total number of Shares granted to you under Section 1 of this Agreement, (2) multiplied by a fraction, the numerator of which is your Years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60"/>
          </w:cols>
          <w:pgMar w:left="320" w:top="1407" w:right="319" w:bottom="1440" w:gutter="0" w:footer="0" w:header="0"/>
        </w:sectPr>
      </w:pPr>
    </w:p>
    <w:bookmarkStart w:id="73" w:name="page74"/>
    <w:bookmarkEnd w:id="73"/>
    <w:p>
      <w:pPr>
        <w:jc w:val="both"/>
        <w:ind w:left="660"/>
        <w:spacing w:after="0" w:line="245" w:lineRule="auto"/>
        <w:rPr>
          <w:sz w:val="20"/>
          <w:szCs w:val="20"/>
          <w:color w:val="auto"/>
        </w:rPr>
      </w:pPr>
      <w:r>
        <w:rPr>
          <w:rFonts w:ascii="Arial" w:cs="Arial" w:eastAsia="Arial" w:hAnsi="Arial"/>
          <w:sz w:val="22"/>
          <w:szCs w:val="22"/>
          <w:color w:val="auto"/>
        </w:rPr>
        <w:t>Service from the Grant Date to your Termination of Service and the denominator of which is the total years of service from the Grant Date to the final vesting date of this Award, then (3) minus the total number of Shares that vested on or before your Termination of Service; and</w:t>
      </w:r>
    </w:p>
    <w:p>
      <w:pPr>
        <w:spacing w:after="0" w:line="89" w:lineRule="exact"/>
        <w:rPr>
          <w:sz w:val="20"/>
          <w:szCs w:val="20"/>
          <w:color w:val="auto"/>
        </w:rPr>
      </w:pPr>
    </w:p>
    <w:p>
      <w:pPr>
        <w:jc w:val="both"/>
        <w:ind w:left="660" w:hanging="4"/>
        <w:spacing w:after="0" w:line="245" w:lineRule="auto"/>
        <w:tabs>
          <w:tab w:leader="none" w:pos="1035" w:val="left"/>
        </w:tabs>
        <w:numPr>
          <w:ilvl w:val="1"/>
          <w:numId w:val="50"/>
        </w:numPr>
        <w:rPr>
          <w:rFonts w:ascii="Arial" w:cs="Arial" w:eastAsia="Arial" w:hAnsi="Arial"/>
          <w:sz w:val="22"/>
          <w:szCs w:val="22"/>
          <w:color w:val="auto"/>
        </w:rPr>
      </w:pPr>
      <w:r>
        <w:rPr>
          <w:rFonts w:ascii="Arial" w:cs="Arial" w:eastAsia="Arial" w:hAnsi="Arial"/>
          <w:sz w:val="22"/>
          <w:szCs w:val="22"/>
          <w:color w:val="auto"/>
        </w:rPr>
        <w:t>Shares that vest pursuant to Paragraph (A) above shall vest and be made available for exercise at the Award’s next regular vesting date, not to exceed the number of Shares that would have vested at such date under the original vesting schedule, with excess Shares vesting at a future vesting date if necessary; and</w:t>
      </w:r>
    </w:p>
    <w:p>
      <w:pPr>
        <w:spacing w:after="0" w:line="102" w:lineRule="exact"/>
        <w:rPr>
          <w:rFonts w:ascii="Arial" w:cs="Arial" w:eastAsia="Arial" w:hAnsi="Arial"/>
          <w:sz w:val="22"/>
          <w:szCs w:val="22"/>
          <w:color w:val="auto"/>
        </w:rPr>
      </w:pPr>
    </w:p>
    <w:p>
      <w:pPr>
        <w:ind w:left="660" w:right="20" w:hanging="4"/>
        <w:spacing w:after="0" w:line="259" w:lineRule="auto"/>
        <w:tabs>
          <w:tab w:leader="none" w:pos="1037" w:val="left"/>
        </w:tabs>
        <w:numPr>
          <w:ilvl w:val="1"/>
          <w:numId w:val="50"/>
        </w:numPr>
        <w:rPr>
          <w:rFonts w:ascii="Arial" w:cs="Arial" w:eastAsia="Arial" w:hAnsi="Arial"/>
          <w:sz w:val="22"/>
          <w:szCs w:val="22"/>
          <w:color w:val="auto"/>
        </w:rPr>
      </w:pPr>
      <w:r>
        <w:rPr>
          <w:rFonts w:ascii="Arial" w:cs="Arial" w:eastAsia="Arial" w:hAnsi="Arial"/>
          <w:sz w:val="22"/>
          <w:szCs w:val="22"/>
          <w:color w:val="auto"/>
        </w:rPr>
        <w:t>All Shares that vest under this Agreement shall remain exercisable until the Expiration Date described in Section 4.</w:t>
      </w:r>
    </w:p>
    <w:p>
      <w:pPr>
        <w:spacing w:after="0" w:line="73" w:lineRule="exact"/>
        <w:rPr>
          <w:rFonts w:ascii="Arial" w:cs="Arial" w:eastAsia="Arial" w:hAnsi="Arial"/>
          <w:sz w:val="22"/>
          <w:szCs w:val="22"/>
          <w:color w:val="auto"/>
        </w:rPr>
      </w:pPr>
    </w:p>
    <w:p>
      <w:pPr>
        <w:jc w:val="both"/>
        <w:ind w:firstLine="8"/>
        <w:spacing w:after="0" w:line="237" w:lineRule="auto"/>
        <w:tabs>
          <w:tab w:leader="none" w:pos="240"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If you incur an involuntary Termination of Service not for Cause (as defined in Section 2.7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or a voluntary Termination of Service for Good Reason (as defined in Section 2.20 of the Plan) on or before the second anniversary after the date of a Change in Control, any portion of the Option that has not vested or terminated as of your Termination of Service shall vest as of your Termination of Service and become exercisable in full as of the date of such Termination of Service. Such a termination shall be considered an Involuntary Termination not for Cause or, if applicable, a Retirement, under Section 7 of this Agreement.</w:t>
      </w:r>
    </w:p>
    <w:p>
      <w:pPr>
        <w:spacing w:after="0" w:line="94" w:lineRule="exact"/>
        <w:rPr>
          <w:rFonts w:ascii="Arial" w:cs="Arial" w:eastAsia="Arial" w:hAnsi="Arial"/>
          <w:sz w:val="22"/>
          <w:szCs w:val="22"/>
          <w:color w:val="auto"/>
        </w:rPr>
      </w:pPr>
    </w:p>
    <w:p>
      <w:pPr>
        <w:jc w:val="both"/>
        <w:ind w:firstLine="8"/>
        <w:spacing w:after="0" w:line="236" w:lineRule="auto"/>
        <w:tabs>
          <w:tab w:leader="none" w:pos="254"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Withholdings. </w:t>
      </w:r>
      <w:r>
        <w:rPr>
          <w:rFonts w:ascii="Arial" w:cs="Arial" w:eastAsia="Arial" w:hAnsi="Arial"/>
          <w:sz w:val="22"/>
          <w:szCs w:val="22"/>
          <w:color w:val="auto"/>
        </w:rPr>
        <w:t>The Company or your local employer shall have the power and the right to deduct or withhold, or</w:t>
      </w:r>
      <w:r>
        <w:rPr>
          <w:rFonts w:ascii="Arial" w:cs="Arial" w:eastAsia="Arial" w:hAnsi="Arial"/>
          <w:sz w:val="22"/>
          <w:szCs w:val="22"/>
          <w:b w:val="1"/>
          <w:bCs w:val="1"/>
          <w:color w:val="auto"/>
        </w:rPr>
        <w:t xml:space="preserve"> </w:t>
      </w:r>
      <w:r>
        <w:rPr>
          <w:rFonts w:ascii="Arial" w:cs="Arial" w:eastAsia="Arial" w:hAnsi="Arial"/>
          <w:sz w:val="22"/>
          <w:szCs w:val="22"/>
          <w:color w:val="auto"/>
        </w:rPr>
        <w:t>require you to remit to the Company or your local employer,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with respect to the grant of the Option, any exercise of the your rights under this Agreement, the sale of Shares acquired from the exercise of the Option, and/or payment of dividends on Shares acquired pursuant to the Option.</w:t>
      </w:r>
    </w:p>
    <w:p>
      <w:pPr>
        <w:spacing w:after="0" w:line="94" w:lineRule="exact"/>
        <w:rPr>
          <w:rFonts w:ascii="Arial" w:cs="Arial" w:eastAsia="Arial" w:hAnsi="Arial"/>
          <w:sz w:val="22"/>
          <w:szCs w:val="22"/>
          <w:color w:val="auto"/>
        </w:rPr>
      </w:pPr>
    </w:p>
    <w:p>
      <w:pPr>
        <w:jc w:val="both"/>
        <w:ind w:firstLine="8"/>
        <w:spacing w:after="0" w:line="245" w:lineRule="auto"/>
        <w:tabs>
          <w:tab w:leader="none" w:pos="374"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Transfer of Option. </w:t>
      </w:r>
      <w:r>
        <w:rPr>
          <w:rFonts w:ascii="Arial" w:cs="Arial" w:eastAsia="Arial" w:hAnsi="Arial"/>
          <w:sz w:val="22"/>
          <w:szCs w:val="22"/>
          <w:color w:val="auto"/>
        </w:rPr>
        <w:t>You may not transfer the Option or any interest in the Option except by will or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descent and distribution or except as permitted by the Committee and as specified in the Plan. Any other attempt to dispose of your interest will be null and void.</w:t>
      </w:r>
    </w:p>
    <w:p>
      <w:pPr>
        <w:spacing w:after="0" w:line="102" w:lineRule="exact"/>
        <w:rPr>
          <w:rFonts w:ascii="Arial" w:cs="Arial" w:eastAsia="Arial" w:hAnsi="Arial"/>
          <w:sz w:val="22"/>
          <w:szCs w:val="22"/>
          <w:color w:val="auto"/>
        </w:rPr>
      </w:pPr>
    </w:p>
    <w:p>
      <w:pPr>
        <w:ind w:left="360" w:hanging="352"/>
        <w:spacing w:after="0"/>
        <w:tabs>
          <w:tab w:leader="none" w:pos="360"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Requirements for and Forfeiture of Award.</w:t>
      </w:r>
    </w:p>
    <w:p>
      <w:pPr>
        <w:spacing w:after="0" w:line="12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General.</w:t>
      </w:r>
      <w:r>
        <w:rPr>
          <w:rFonts w:ascii="Arial" w:cs="Arial" w:eastAsia="Arial" w:hAnsi="Arial"/>
          <w:sz w:val="22"/>
          <w:szCs w:val="22"/>
          <w:color w:val="auto"/>
        </w:rPr>
        <w:t xml:space="preserve"> The Award is expressly contingent upon you complying with the terms, conditions and definitions contained in this Section 11 and in any other agreement that governs your noncompetition with the Company, your nonsolicitation of the Company’s employees, customers, suppliers, business partners and vendors, and/or your conduct with respect to the Company’s trade secrets and proprietary and confidential information. For purposes of this Section 11, references to “the Company” include its predecessors, designees and successors, as well as its past, present and future operating companies, divisions, subsidiaries, affiliates and other business units, including businesses acquired by purchase of assets, stock, merger or otherwise.</w:t>
      </w:r>
    </w:p>
    <w:p>
      <w:pPr>
        <w:spacing w:after="0" w:line="95" w:lineRule="exact"/>
        <w:rPr>
          <w:sz w:val="20"/>
          <w:szCs w:val="20"/>
          <w:color w:val="auto"/>
        </w:rPr>
      </w:pPr>
    </w:p>
    <w:p>
      <w:pPr>
        <w:ind w:left="900" w:hanging="244"/>
        <w:spacing w:after="0"/>
        <w:tabs>
          <w:tab w:leader="none" w:pos="900"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9" w:right="339" w:bottom="1440" w:gutter="0" w:footer="0" w:header="0"/>
        </w:sectPr>
      </w:pPr>
    </w:p>
    <w:bookmarkStart w:id="74" w:name="page75"/>
    <w:bookmarkEnd w:id="74"/>
    <w:p>
      <w:pPr>
        <w:jc w:val="both"/>
        <w:ind w:firstLine="1304"/>
        <w:spacing w:after="0" w:line="242" w:lineRule="auto"/>
        <w:tabs>
          <w:tab w:leader="none" w:pos="1579" w:val="left"/>
        </w:tabs>
        <w:numPr>
          <w:ilvl w:val="0"/>
          <w:numId w:val="53"/>
        </w:numPr>
        <w:rPr>
          <w:rFonts w:ascii="Arial" w:cs="Arial" w:eastAsia="Arial" w:hAnsi="Arial"/>
          <w:sz w:val="21"/>
          <w:szCs w:val="21"/>
          <w:color w:val="auto"/>
        </w:rPr>
      </w:pPr>
      <w:r>
        <w:rPr>
          <w:rFonts w:ascii="Arial" w:cs="Arial" w:eastAsia="Arial" w:hAnsi="Arial"/>
          <w:sz w:val="21"/>
          <w:szCs w:val="21"/>
          <w:color w:val="auto"/>
        </w:rPr>
        <w:t>You expressly agree and acknowledge that the forfeiture provisions of subsection 11.b.2. of this Agreement shall apply if: (A) you are terminated for Cause (as defined in the Plan) or you voluntarily terminate your employment with less than a 60-day notice period, or (B) from the Grant Date until the date that is twenty-four (24) months after your Termination of Service for any reason, you (i) enter into an employment, consultation or similar agreement or arrangement (including any arrangement for service as an agent, partner, stockholder, consultant, officer or director) with any entity or person engaged in a business in which the Company is engaged if the business is competitive (in the sole judgment of the Company’s Chief Executive Officer (“CEO”) with the Company and the CEO has not approved the agreement or arrangement in writing, or (ii) make any statement, publicly or privately (other than to your spouse and legal advisors), which would be disparaging (as defined below) to the Company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the Company or your career with the Company without first submitting a draft thereof, at least thirty (30) days in advance, to the Company’s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1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112" w:lineRule="exact"/>
        <w:rPr>
          <w:sz w:val="20"/>
          <w:szCs w:val="20"/>
          <w:color w:val="auto"/>
        </w:rPr>
      </w:pPr>
    </w:p>
    <w:p>
      <w:pPr>
        <w:jc w:val="both"/>
        <w:ind w:firstLine="1304"/>
        <w:spacing w:after="0" w:line="233" w:lineRule="auto"/>
        <w:tabs>
          <w:tab w:leader="none" w:pos="155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addition to the relief described in any other agreement that governs your noncompetition with the Company, your nonsolicitation of the Company’s employees, customers, suppliers, business partners and vendors, and/or your conduct with respect to the Company’s trade secrets and proprietary and confidential information, if the CEO determines, in its sole judgment, that you have violated the terms of any such agreement or you have engaged in an act that violates subsection 11.b.1. of this Agreement, or you are terminated for Cause (as defined in the Plan) or you voluntarily terminate your employment with less than a 60-day notice period, (i) any portion of the Option you have not exercised (whether vested or unvested) shall immediately be cancelled, and you shall forfeit any rights you have with respect to the Option as of the date of the CEO’s determination or the date of your Termination of Service, as applicable, and (ii) you shall immediately deliver to the Company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9" w:right="339" w:bottom="1440" w:gutter="0" w:footer="0" w:header="0"/>
        </w:sectPr>
      </w:pPr>
    </w:p>
    <w:bookmarkStart w:id="75" w:name="page76"/>
    <w:bookmarkEnd w:id="75"/>
    <w:p>
      <w:pPr>
        <w:spacing w:after="0" w:line="11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equal in value to the amount of any profit you realized upon an exercise of the Option during the period beginning twelve (12) months prior to your Termination of Service and ending on (x) the date of the CEO’s determination in the case of a violation other than for a Termination of Service for Cause or voluntary termination without sufficient notice, or (y) the date of your Termination of Service in the case of a Termination of Service for Cause or voluntary termination without sufficient notice, as applicable.</w:t>
      </w:r>
    </w:p>
    <w:p>
      <w:pPr>
        <w:spacing w:after="0" w:line="112" w:lineRule="exact"/>
        <w:rPr>
          <w:sz w:val="20"/>
          <w:szCs w:val="20"/>
          <w:color w:val="auto"/>
        </w:rPr>
      </w:pPr>
    </w:p>
    <w:p>
      <w:pPr>
        <w:jc w:val="both"/>
        <w:ind w:firstLine="1304"/>
        <w:spacing w:after="0"/>
        <w:tabs>
          <w:tab w:leader="none" w:pos="1565" w:val="left"/>
        </w:tabs>
        <w:numPr>
          <w:ilvl w:val="1"/>
          <w:numId w:val="55"/>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93" w:lineRule="exact"/>
        <w:rPr>
          <w:rFonts w:ascii="Arial" w:cs="Arial" w:eastAsia="Arial" w:hAnsi="Arial"/>
          <w:sz w:val="22"/>
          <w:szCs w:val="22"/>
          <w:color w:val="auto"/>
        </w:rPr>
      </w:pPr>
    </w:p>
    <w:p>
      <w:pPr>
        <w:ind w:left="360" w:hanging="352"/>
        <w:spacing w:after="0"/>
        <w:tabs>
          <w:tab w:leader="none" w:pos="360"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Any adjustments to the Option will be governed by Section 5.4 of the Plan.</w:t>
      </w:r>
    </w:p>
    <w:p>
      <w:pPr>
        <w:spacing w:after="0" w:line="138" w:lineRule="exact"/>
        <w:rPr>
          <w:rFonts w:ascii="Arial" w:cs="Arial" w:eastAsia="Arial" w:hAnsi="Arial"/>
          <w:sz w:val="22"/>
          <w:szCs w:val="22"/>
          <w:color w:val="auto"/>
        </w:rPr>
      </w:pPr>
    </w:p>
    <w:p>
      <w:pPr>
        <w:jc w:val="both"/>
        <w:ind w:firstLine="8"/>
        <w:spacing w:after="0" w:line="235" w:lineRule="auto"/>
        <w:tabs>
          <w:tab w:leader="none" w:pos="374"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 xml:space="preserve">Restrictions on Exercise. </w:t>
      </w:r>
      <w:r>
        <w:rPr>
          <w:rFonts w:ascii="Arial" w:cs="Arial" w:eastAsia="Arial" w:hAnsi="Arial"/>
          <w:sz w:val="22"/>
          <w:szCs w:val="22"/>
          <w:color w:val="auto"/>
        </w:rPr>
        <w:t>Exercise of the Option is subject to the conditions that, to the extent required at the</w:t>
      </w:r>
      <w:r>
        <w:rPr>
          <w:rFonts w:ascii="Arial" w:cs="Arial" w:eastAsia="Arial" w:hAnsi="Arial"/>
          <w:sz w:val="22"/>
          <w:szCs w:val="22"/>
          <w:b w:val="1"/>
          <w:bCs w:val="1"/>
          <w:color w:val="auto"/>
        </w:rPr>
        <w:t xml:space="preserve"> </w:t>
      </w:r>
      <w:r>
        <w:rPr>
          <w:rFonts w:ascii="Arial" w:cs="Arial" w:eastAsia="Arial" w:hAnsi="Arial"/>
          <w:sz w:val="22"/>
          <w:szCs w:val="22"/>
          <w:color w:val="auto"/>
        </w:rPr>
        <w:t>time of exercise, (i) the Shares covered by the Option will be duly listed, upon official notice of issuance, upon Nasdaq,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of the Company.</w:t>
      </w:r>
    </w:p>
    <w:p>
      <w:pPr>
        <w:spacing w:after="0" w:line="106" w:lineRule="exact"/>
        <w:rPr>
          <w:rFonts w:ascii="Arial" w:cs="Arial" w:eastAsia="Arial" w:hAnsi="Arial"/>
          <w:sz w:val="22"/>
          <w:szCs w:val="22"/>
          <w:color w:val="auto"/>
        </w:rPr>
      </w:pPr>
    </w:p>
    <w:p>
      <w:pPr>
        <w:jc w:val="both"/>
        <w:ind w:firstLine="8"/>
        <w:spacing w:after="0" w:line="233" w:lineRule="auto"/>
        <w:tabs>
          <w:tab w:leader="none" w:pos="360"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 xml:space="preserve">Disposition of Securities. </w:t>
      </w:r>
      <w:r>
        <w:rPr>
          <w:rFonts w:ascii="Arial" w:cs="Arial" w:eastAsia="Arial" w:hAnsi="Arial"/>
          <w:sz w:val="22"/>
          <w:szCs w:val="22"/>
          <w:color w:val="auto"/>
        </w:rPr>
        <w:t>By accepting the Award, you acknowledge that you have read and understand (i)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policy, and are aware of and understand your obligations under U.S. federal securities laws in respect of trading in the Company’s securities, and (ii) the Company’s stock ownership guidelines as they apply to this Award. You agree not to use the Company’s “cashless exercise” program (or any successor program) at any time when you possess material nonpublic information with respect to the Company or when using the program would otherwise result in a violation of securities law. The Company shall have the right to recover, or receive reimbursement for, any compensation or profit realized on the exercise of the Option or by the disposition of Shares received upon exercise of the Option to the extent that the Company has a right of recovery or reimbursement under applicable securities laws.</w:t>
      </w:r>
    </w:p>
    <w:p>
      <w:pPr>
        <w:spacing w:after="0" w:line="111" w:lineRule="exact"/>
        <w:rPr>
          <w:rFonts w:ascii="Arial" w:cs="Arial" w:eastAsia="Arial" w:hAnsi="Arial"/>
          <w:sz w:val="22"/>
          <w:szCs w:val="22"/>
          <w:color w:val="auto"/>
        </w:rPr>
      </w:pPr>
    </w:p>
    <w:p>
      <w:pPr>
        <w:jc w:val="both"/>
        <w:ind w:firstLine="8"/>
        <w:spacing w:after="0" w:line="234" w:lineRule="auto"/>
        <w:tabs>
          <w:tab w:leader="none" w:pos="374"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 xml:space="preserve">Plan Terms Govern. </w:t>
      </w:r>
      <w:r>
        <w:rPr>
          <w:rFonts w:ascii="Arial" w:cs="Arial" w:eastAsia="Arial" w:hAnsi="Arial"/>
          <w:sz w:val="22"/>
          <w:szCs w:val="22"/>
          <w:color w:val="auto"/>
        </w:rPr>
        <w:t>The exercise of the Option, the disposition of any Shares received upon exercise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Option, and the treatment of any gain on the disposition of these Shares are subject to the terms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unless otherwise stated in this Agreement. By accepting the Award, you acknowledge receipt of the Plan and the prospectus, as in effect on the date of this Agreement.</w:t>
      </w:r>
    </w:p>
    <w:p>
      <w:pPr>
        <w:spacing w:after="0" w:line="109" w:lineRule="exact"/>
        <w:rPr>
          <w:rFonts w:ascii="Arial" w:cs="Arial" w:eastAsia="Arial" w:hAnsi="Arial"/>
          <w:sz w:val="22"/>
          <w:szCs w:val="22"/>
          <w:color w:val="auto"/>
        </w:rPr>
      </w:pPr>
    </w:p>
    <w:p>
      <w:pPr>
        <w:ind w:left="360" w:hanging="352"/>
        <w:spacing w:after="0"/>
        <w:tabs>
          <w:tab w:leader="none" w:pos="360"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1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a. By entering into this Agreement, and as a condition of the grant of the Option, you expressly consent to the collection, use, and transfer of personal data as described in this Section to the full extent permitted by and in full compliance with applicable law.</w:t>
      </w:r>
    </w:p>
    <w:p>
      <w:pPr>
        <w:spacing w:after="0" w:line="1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b. 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options or other entitlement to shares awarded, canceled, exercised, vested, unvested, or outstanding in your favor, for the purpose of managing and administering the Plan (“Data”).</w:t>
      </w:r>
    </w:p>
    <w:p>
      <w:pPr>
        <w:spacing w:after="0" w:line="9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 You further understand that part or all of your Data may be also held by the Company or its Affiliates, pursuant to a transfer made in the past with your consent, in respect of any previous grant of options or awards, which was made for the same purposes of managing and administering of previous award/incentive plans, or for other purposes.</w:t>
      </w:r>
    </w:p>
    <w:p>
      <w:pPr>
        <w:spacing w:after="0" w:line="10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d. 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e. 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 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g. 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employment or after your Termination of Service.</w:t>
      </w:r>
    </w:p>
    <w:p>
      <w:pPr>
        <w:spacing w:after="0" w:line="85" w:lineRule="exact"/>
        <w:rPr>
          <w:sz w:val="20"/>
          <w:szCs w:val="20"/>
          <w:color w:val="auto"/>
        </w:rPr>
      </w:pPr>
    </w:p>
    <w:p>
      <w:pPr>
        <w:ind w:firstLine="8"/>
        <w:spacing w:after="0" w:line="261" w:lineRule="auto"/>
        <w:tabs>
          <w:tab w:leader="none" w:pos="360"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 xml:space="preserve">Discretionary Nature and Acceptance of Award. </w:t>
      </w:r>
      <w:r>
        <w:rPr>
          <w:rFonts w:ascii="Arial" w:cs="Arial" w:eastAsia="Arial" w:hAnsi="Arial"/>
          <w:sz w:val="22"/>
          <w:szCs w:val="22"/>
          <w:color w:val="auto"/>
        </w:rPr>
        <w:t>By accepting this Award, you agree to be bound by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 and acknowledge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77" w:name="page78"/>
    <w:bookmarkEnd w:id="77"/>
    <w:p>
      <w:pPr>
        <w:jc w:val="both"/>
        <w:ind w:firstLine="648"/>
        <w:spacing w:after="0" w:line="245" w:lineRule="auto"/>
        <w:rPr>
          <w:sz w:val="20"/>
          <w:szCs w:val="20"/>
          <w:color w:val="auto"/>
        </w:rPr>
      </w:pPr>
      <w:r>
        <w:rPr>
          <w:rFonts w:ascii="Arial" w:cs="Arial" w:eastAsia="Arial" w:hAnsi="Arial"/>
          <w:sz w:val="22"/>
          <w:szCs w:val="22"/>
          <w:color w:val="auto"/>
        </w:rPr>
        <w:t>a. The Company (and not your local employer) is granting your Option. Furthermore, this Agreement is not derived from any preexisting labor relationship between you and the Company, but rather from a mercantile relationship.</w:t>
      </w:r>
    </w:p>
    <w:p>
      <w:pPr>
        <w:spacing w:after="0" w:line="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b. The Company may administer the Plan from outside your country of residence and United States law will govern all options granted under the Plan.</w:t>
      </w:r>
    </w:p>
    <w:p>
      <w:pPr>
        <w:spacing w:after="0" w:line="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c. Benefits and rights provided under the Plan are wholly discretionary and, although provided by the Company, do not constitute regular or periodic payments.</w:t>
      </w:r>
    </w:p>
    <w:p>
      <w:pPr>
        <w:spacing w:after="0" w:line="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d. 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9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e. The grant of the Option hereunder, and any future grant of an option under the Plan, is entirely voluntary, and at the complete discretion of the Company. Neither the grant of the Option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0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f. 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g. Participation in the Plan will not be deemed to constitute, and will not be deemed by you to constitute, an employment or labor relationship of any kind with the Company.</w:t>
      </w:r>
    </w:p>
    <w:p>
      <w:pPr>
        <w:spacing w:after="0" w:line="73" w:lineRule="exact"/>
        <w:rPr>
          <w:sz w:val="20"/>
          <w:szCs w:val="20"/>
          <w:color w:val="auto"/>
        </w:rPr>
      </w:pPr>
    </w:p>
    <w:p>
      <w:pPr>
        <w:jc w:val="both"/>
        <w:ind w:firstLine="8"/>
        <w:spacing w:after="0" w:line="238" w:lineRule="auto"/>
        <w:tabs>
          <w:tab w:leader="none" w:pos="36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 xml:space="preserve">Limitations. </w:t>
      </w:r>
      <w:r>
        <w:rPr>
          <w:rFonts w:ascii="Arial" w:cs="Arial" w:eastAsia="Arial" w:hAnsi="Arial"/>
          <w:sz w:val="22"/>
          <w:szCs w:val="22"/>
          <w:color w:val="auto"/>
        </w:rPr>
        <w:t>Nothing in this Agreement or the Plan gives you any right to continue in the employ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or any of its Affiliates or to interfere in any way with the right of the Company or any Affiliate to terminate your employment at any time. Payment of Shares is not secured by a trust, insurance contract or other funding medium, and you do not have any interest in any fund or specific asset of the Company by reason of the Option. You have no rights as a shareowner of the Company pursuant to the Option until Shares are actually delivered you.</w:t>
      </w:r>
    </w:p>
    <w:p>
      <w:pPr>
        <w:spacing w:after="0" w:line="95" w:lineRule="exact"/>
        <w:rPr>
          <w:rFonts w:ascii="Arial" w:cs="Arial" w:eastAsia="Arial" w:hAnsi="Arial"/>
          <w:sz w:val="22"/>
          <w:szCs w:val="22"/>
          <w:color w:val="auto"/>
        </w:rPr>
      </w:pPr>
    </w:p>
    <w:p>
      <w:pPr>
        <w:jc w:val="both"/>
        <w:ind w:firstLine="8"/>
        <w:spacing w:after="0" w:line="245" w:lineRule="auto"/>
        <w:tabs>
          <w:tab w:leader="none" w:pos="36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 xml:space="preserve">Incorporation of Other Agreements. </w:t>
      </w:r>
      <w:r>
        <w:rPr>
          <w:rFonts w:ascii="Arial" w:cs="Arial" w:eastAsia="Arial" w:hAnsi="Arial"/>
          <w:sz w:val="22"/>
          <w:szCs w:val="22"/>
          <w:color w:val="auto"/>
        </w:rPr>
        <w:t>This Agreement and the Plan constitute the entire understanding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you and the Company regarding the Option. This Agreement supersedes any prior agreements, commitments or negotiations concerning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9" w:right="339" w:bottom="1440" w:gutter="0" w:footer="0" w:header="0"/>
        </w:sectPr>
      </w:pPr>
    </w:p>
    <w:bookmarkStart w:id="78" w:name="page79"/>
    <w:bookmarkEnd w:id="78"/>
    <w:p>
      <w:pPr>
        <w:jc w:val="both"/>
        <w:ind w:firstLine="8"/>
        <w:spacing w:after="0"/>
        <w:tabs>
          <w:tab w:leader="none" w:pos="387"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will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95" w:lineRule="exact"/>
        <w:rPr>
          <w:rFonts w:ascii="Arial" w:cs="Arial" w:eastAsia="Arial" w:hAnsi="Arial"/>
          <w:sz w:val="22"/>
          <w:szCs w:val="22"/>
          <w:color w:val="auto"/>
        </w:rPr>
      </w:pPr>
    </w:p>
    <w:p>
      <w:pPr>
        <w:jc w:val="both"/>
        <w:ind w:firstLine="8"/>
        <w:spacing w:after="0" w:line="245" w:lineRule="auto"/>
        <w:tabs>
          <w:tab w:leader="none" w:pos="36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this Agreement, and all determinations made and actions taken under the Plan or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governed by the internal substantive laws, and not the choice of law rules, of the State of Delaware and construed accordingly, to the extent not superseded by applicable federal law.</w:t>
      </w:r>
    </w:p>
    <w:p>
      <w:pPr>
        <w:spacing w:after="0" w:line="102" w:lineRule="exact"/>
        <w:rPr>
          <w:rFonts w:ascii="Arial" w:cs="Arial" w:eastAsia="Arial" w:hAnsi="Arial"/>
          <w:sz w:val="22"/>
          <w:szCs w:val="22"/>
          <w:color w:val="auto"/>
        </w:rPr>
      </w:pPr>
    </w:p>
    <w:p>
      <w:pPr>
        <w:jc w:val="both"/>
        <w:ind w:firstLine="8"/>
        <w:spacing w:after="0" w:line="236" w:lineRule="auto"/>
        <w:tabs>
          <w:tab w:leader="none" w:pos="36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Acknowledgements and Acceptance. </w:t>
      </w:r>
      <w:r>
        <w:rPr>
          <w:rFonts w:ascii="Arial" w:cs="Arial" w:eastAsia="Arial" w:hAnsi="Arial"/>
          <w:sz w:val="22"/>
          <w:szCs w:val="22"/>
          <w:color w:val="auto"/>
        </w:rPr>
        <w:t>By accepting this Agreement, you agree that: (i) you have carefully read,</w:t>
      </w:r>
      <w:r>
        <w:rPr>
          <w:rFonts w:ascii="Arial" w:cs="Arial" w:eastAsia="Arial" w:hAnsi="Arial"/>
          <w:sz w:val="22"/>
          <w:szCs w:val="22"/>
          <w:b w:val="1"/>
          <w:bCs w:val="1"/>
          <w:color w:val="auto"/>
        </w:rPr>
        <w:t xml:space="preserve"> </w:t>
      </w:r>
      <w:r>
        <w:rPr>
          <w:rFonts w:ascii="Arial" w:cs="Arial" w:eastAsia="Arial" w:hAnsi="Arial"/>
          <w:sz w:val="22"/>
          <w:szCs w:val="22"/>
          <w:color w:val="auto"/>
        </w:rPr>
        <w:t>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Option, and that any prior agreements, commitments, or negotiations concerning the Option are replaced and superseded.</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color w:val="auto"/>
        </w:rPr>
        <w:t>To retain this Award, you must accept it on the Morgan Stanley At Work website.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Date Accepted: [ACCEPTANCE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7" w:right="339" w:bottom="1440" w:gutter="0" w:footer="0" w:header="0"/>
        </w:sectPr>
      </w:pPr>
    </w:p>
    <w:bookmarkStart w:id="79" w:name="page80"/>
    <w:bookmarkEnd w:id="79"/>
    <w:p>
      <w:pPr>
        <w:ind w:left="4000"/>
        <w:spacing w:after="0"/>
        <w:rPr>
          <w:sz w:val="20"/>
          <w:szCs w:val="20"/>
          <w:color w:val="auto"/>
        </w:rPr>
      </w:pPr>
      <w:r>
        <w:rPr>
          <w:rFonts w:ascii="Arial" w:cs="Arial" w:eastAsia="Arial" w:hAnsi="Arial"/>
          <w:sz w:val="22"/>
          <w:szCs w:val="22"/>
          <w:b w:val="1"/>
          <w:bCs w:val="1"/>
          <w:color w:val="auto"/>
        </w:rPr>
        <w:t>VESTING SCHEDULE TABLE</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color w:val="auto"/>
        </w:rPr>
        <w:t>[VESTING PROVISIONS CONSISTENT WITH THE PLAN, INCLUDING THE MINIMUM VESTING CONDITION IN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5.1(b)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980"/>
          </w:cols>
          <w:pgMar w:left="460" w:top="1407" w:right="4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EXECUTIVE OFFICER PURSUANT TO RULE 13A-14(A) UNDER THE SECURITIES EXCHANGE ACT OF 1934, AS ADOPTED PURSUANT TO SECTION 302 OF THE SARBANES-OXLEY ACT OF 2002</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I, James Currier, certify that:</w:t>
      </w:r>
    </w:p>
    <w:p>
      <w:pPr>
        <w:spacing w:after="0" w:line="50" w:lineRule="exact"/>
        <w:rPr>
          <w:sz w:val="20"/>
          <w:szCs w:val="20"/>
          <w:color w:val="auto"/>
        </w:rPr>
      </w:pPr>
    </w:p>
    <w:p>
      <w:pPr>
        <w:ind w:left="460" w:hanging="434"/>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Aerospace Inc. for the quarterly period ended September 26, 2026;</w:t>
      </w:r>
    </w:p>
    <w:p>
      <w:pPr>
        <w:spacing w:after="0" w:line="184" w:lineRule="exact"/>
        <w:rPr>
          <w:rFonts w:ascii="Arial" w:cs="Arial" w:eastAsia="Arial" w:hAnsi="Arial"/>
          <w:sz w:val="18"/>
          <w:szCs w:val="18"/>
          <w:color w:val="auto"/>
        </w:rPr>
      </w:pPr>
    </w:p>
    <w:p>
      <w:pPr>
        <w:jc w:val="both"/>
        <w:ind w:left="460" w:right="20" w:hanging="434"/>
        <w:spacing w:after="0" w:line="233"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jc w:val="both"/>
        <w:ind w:left="460" w:right="20" w:hanging="434"/>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8"/>
          <w:szCs w:val="18"/>
          <w:color w:val="auto"/>
        </w:rPr>
      </w:pPr>
    </w:p>
    <w:p>
      <w:pPr>
        <w:jc w:val="both"/>
        <w:ind w:left="460" w:right="20" w:hanging="434"/>
        <w:spacing w:after="0" w:line="233"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jc w:val="both"/>
        <w:ind w:left="1320" w:right="20" w:hanging="528"/>
        <w:spacing w:after="0" w:line="233" w:lineRule="auto"/>
        <w:tabs>
          <w:tab w:leader="none" w:pos="13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1320" w:right="20" w:hanging="528"/>
        <w:spacing w:after="0" w:line="233" w:lineRule="auto"/>
        <w:tabs>
          <w:tab w:leader="none" w:pos="13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jc w:val="both"/>
        <w:ind w:left="1320" w:right="20" w:hanging="523"/>
        <w:spacing w:after="0" w:line="233" w:lineRule="auto"/>
        <w:tabs>
          <w:tab w:leader="none" w:pos="13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8"/>
          <w:szCs w:val="18"/>
          <w:color w:val="auto"/>
        </w:rPr>
      </w:pPr>
    </w:p>
    <w:p>
      <w:pPr>
        <w:jc w:val="both"/>
        <w:ind w:left="1320" w:right="20" w:hanging="528"/>
        <w:spacing w:after="0" w:line="233" w:lineRule="auto"/>
        <w:tabs>
          <w:tab w:leader="none" w:pos="13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3" w:lineRule="exact"/>
        <w:rPr>
          <w:rFonts w:ascii="Arial" w:cs="Arial" w:eastAsia="Arial" w:hAnsi="Arial"/>
          <w:sz w:val="18"/>
          <w:szCs w:val="18"/>
          <w:color w:val="auto"/>
        </w:rPr>
      </w:pPr>
    </w:p>
    <w:p>
      <w:pPr>
        <w:jc w:val="both"/>
        <w:ind w:left="460" w:right="20" w:hanging="434"/>
        <w:spacing w:after="0" w:line="233"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8"/>
          <w:szCs w:val="18"/>
          <w:color w:val="auto"/>
        </w:rPr>
      </w:pPr>
    </w:p>
    <w:p>
      <w:pPr>
        <w:jc w:val="both"/>
        <w:ind w:left="1320" w:right="20" w:hanging="528"/>
        <w:spacing w:after="0" w:line="233" w:lineRule="auto"/>
        <w:tabs>
          <w:tab w:leader="none" w:pos="13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8"/>
          <w:szCs w:val="18"/>
          <w:color w:val="auto"/>
        </w:rPr>
      </w:pPr>
    </w:p>
    <w:p>
      <w:pPr>
        <w:ind w:left="1320" w:right="20" w:hanging="528"/>
        <w:spacing w:after="0"/>
        <w:tabs>
          <w:tab w:leader="none" w:pos="13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ind w:left="20"/>
        <w:spacing w:after="0"/>
        <w:tabs>
          <w:tab w:leader="none" w:pos="5100" w:val="left"/>
          <w:tab w:leader="none" w:pos="5680" w:val="left"/>
        </w:tabs>
        <w:rPr>
          <w:sz w:val="20"/>
          <w:szCs w:val="20"/>
          <w:color w:val="auto"/>
        </w:rPr>
      </w:pPr>
      <w:r>
        <w:rPr>
          <w:rFonts w:ascii="Arial" w:cs="Arial" w:eastAsia="Arial" w:hAnsi="Arial"/>
          <w:sz w:val="18"/>
          <w:szCs w:val="18"/>
          <w:color w:val="auto"/>
        </w:rPr>
        <w:t>Date: October 28,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Currier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17780</wp:posOffset>
            </wp:positionV>
            <wp:extent cx="35229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Currier</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4"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FINANCIAL OFFICER PURSUANT TO RULE 13A-14(A) UNDER THE SECURITIES EXCHANGE ACT OF 1934, AS ADOPTED PURSUANT TO SECTION 302 OF THE SARBANES-OXLEY ACT OF 2002</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I, Joshua Jepsen, certify that:</w:t>
      </w:r>
    </w:p>
    <w:p>
      <w:pPr>
        <w:spacing w:after="0" w:line="50" w:lineRule="exact"/>
        <w:rPr>
          <w:sz w:val="20"/>
          <w:szCs w:val="20"/>
          <w:color w:val="auto"/>
        </w:rPr>
      </w:pPr>
    </w:p>
    <w:p>
      <w:pPr>
        <w:ind w:left="460" w:hanging="434"/>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Aerospace Inc. for the quarterly period ended September 26, 2026;</w:t>
      </w:r>
    </w:p>
    <w:p>
      <w:pPr>
        <w:spacing w:after="0" w:line="184" w:lineRule="exact"/>
        <w:rPr>
          <w:rFonts w:ascii="Arial" w:cs="Arial" w:eastAsia="Arial" w:hAnsi="Arial"/>
          <w:sz w:val="18"/>
          <w:szCs w:val="18"/>
          <w:color w:val="auto"/>
        </w:rPr>
      </w:pPr>
    </w:p>
    <w:p>
      <w:pPr>
        <w:jc w:val="both"/>
        <w:ind w:left="460" w:right="20" w:hanging="434"/>
        <w:spacing w:after="0" w:line="233"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jc w:val="both"/>
        <w:ind w:left="460" w:right="20" w:hanging="434"/>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8"/>
          <w:szCs w:val="18"/>
          <w:color w:val="auto"/>
        </w:rPr>
      </w:pPr>
    </w:p>
    <w:p>
      <w:pPr>
        <w:jc w:val="both"/>
        <w:ind w:left="460" w:right="20" w:hanging="434"/>
        <w:spacing w:after="0" w:line="233"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jc w:val="both"/>
        <w:ind w:left="1320" w:right="20" w:hanging="528"/>
        <w:spacing w:after="0" w:line="233" w:lineRule="auto"/>
        <w:tabs>
          <w:tab w:leader="none" w:pos="13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1320" w:right="20" w:hanging="528"/>
        <w:spacing w:after="0" w:line="233" w:lineRule="auto"/>
        <w:tabs>
          <w:tab w:leader="none" w:pos="13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jc w:val="both"/>
        <w:ind w:left="1320" w:right="20" w:hanging="523"/>
        <w:spacing w:after="0" w:line="233" w:lineRule="auto"/>
        <w:tabs>
          <w:tab w:leader="none" w:pos="13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8"/>
          <w:szCs w:val="18"/>
          <w:color w:val="auto"/>
        </w:rPr>
      </w:pPr>
    </w:p>
    <w:p>
      <w:pPr>
        <w:jc w:val="both"/>
        <w:ind w:left="1320" w:right="20" w:hanging="528"/>
        <w:spacing w:after="0" w:line="233" w:lineRule="auto"/>
        <w:tabs>
          <w:tab w:leader="none" w:pos="13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3" w:lineRule="exact"/>
        <w:rPr>
          <w:rFonts w:ascii="Arial" w:cs="Arial" w:eastAsia="Arial" w:hAnsi="Arial"/>
          <w:sz w:val="18"/>
          <w:szCs w:val="18"/>
          <w:color w:val="auto"/>
        </w:rPr>
      </w:pPr>
    </w:p>
    <w:p>
      <w:pPr>
        <w:jc w:val="both"/>
        <w:ind w:left="460" w:right="20" w:hanging="434"/>
        <w:spacing w:after="0" w:line="233"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8"/>
          <w:szCs w:val="18"/>
          <w:color w:val="auto"/>
        </w:rPr>
      </w:pPr>
    </w:p>
    <w:p>
      <w:pPr>
        <w:jc w:val="both"/>
        <w:ind w:left="1320" w:right="20" w:hanging="528"/>
        <w:spacing w:after="0" w:line="233" w:lineRule="auto"/>
        <w:tabs>
          <w:tab w:leader="none" w:pos="13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8"/>
          <w:szCs w:val="18"/>
          <w:color w:val="auto"/>
        </w:rPr>
      </w:pPr>
    </w:p>
    <w:p>
      <w:pPr>
        <w:ind w:left="1320" w:right="20" w:hanging="528"/>
        <w:spacing w:after="0"/>
        <w:tabs>
          <w:tab w:leader="none" w:pos="13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ind w:left="20"/>
        <w:spacing w:after="0"/>
        <w:tabs>
          <w:tab w:leader="none" w:pos="5100" w:val="left"/>
          <w:tab w:leader="none" w:pos="5680" w:val="left"/>
        </w:tabs>
        <w:rPr>
          <w:sz w:val="20"/>
          <w:szCs w:val="20"/>
          <w:color w:val="auto"/>
        </w:rPr>
      </w:pPr>
      <w:r>
        <w:rPr>
          <w:rFonts w:ascii="Arial" w:cs="Arial" w:eastAsia="Arial" w:hAnsi="Arial"/>
          <w:sz w:val="18"/>
          <w:szCs w:val="18"/>
          <w:color w:val="auto"/>
        </w:rPr>
        <w:t>Date: October 28,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Jepsen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17780</wp:posOffset>
            </wp:positionV>
            <wp:extent cx="35229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Joshua Jepsen</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364"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Aerospace Inc. (the “Company”) on Form 10-Q for the period ended September 26, 2026, as filed with the Securities and Exchange Commission on the date hereof (the “Report”), I, James Currier, President and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left="840" w:hanging="346"/>
        <w:spacing w:after="0"/>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3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480" w:type="dxa"/>
            <w:vAlign w:val="bottom"/>
          </w:tcPr>
          <w:p>
            <w:pPr>
              <w:spacing w:after="0"/>
              <w:rPr>
                <w:sz w:val="20"/>
                <w:szCs w:val="20"/>
                <w:color w:val="auto"/>
              </w:rPr>
            </w:pPr>
            <w:r>
              <w:rPr>
                <w:rFonts w:ascii="Arial" w:cs="Arial" w:eastAsia="Arial" w:hAnsi="Arial"/>
                <w:sz w:val="18"/>
                <w:szCs w:val="18"/>
                <w:color w:val="auto"/>
              </w:rPr>
              <w:t>Date: October 28, 2026</w:t>
            </w:r>
          </w:p>
        </w:tc>
        <w:tc>
          <w:tcPr>
            <w:tcW w:w="2200" w:type="dxa"/>
            <w:vAlign w:val="bottom"/>
          </w:tcPr>
          <w:p>
            <w:pPr>
              <w:ind w:left="162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Currier</w:t>
            </w:r>
          </w:p>
        </w:tc>
      </w:tr>
      <w:tr>
        <w:trPr>
          <w:trHeight w:val="218"/>
        </w:trPr>
        <w:tc>
          <w:tcPr>
            <w:tcW w:w="3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James Currier</w:t>
            </w:r>
          </w:p>
        </w:tc>
      </w:tr>
      <w:tr>
        <w:trPr>
          <w:trHeight w:val="239"/>
        </w:trPr>
        <w:tc>
          <w:tcPr>
            <w:tcW w:w="3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364"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Aerospace Inc. (the “Company”) on Form 10-Q for the period ended September 26, 2026, as filed with the Securities and Exchange Commission on the date hereof (the “Report”), I, Joshua Jepsen, Senior Vice President and Chief Financial Officer of the Company, hereby certify, pursuant to 18 U.S.C. Section 1350, as adopted pursuant to Section 906 of the Sarbanes-Oxley Act of 2002, that:</w:t>
      </w:r>
    </w:p>
    <w:p>
      <w:pPr>
        <w:spacing w:after="0" w:line="176" w:lineRule="exact"/>
        <w:rPr>
          <w:sz w:val="20"/>
          <w:szCs w:val="20"/>
          <w:color w:val="auto"/>
        </w:rPr>
      </w:pPr>
    </w:p>
    <w:p>
      <w:pPr>
        <w:ind w:left="840" w:hanging="346"/>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3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480" w:type="dxa"/>
            <w:vAlign w:val="bottom"/>
          </w:tcPr>
          <w:p>
            <w:pPr>
              <w:spacing w:after="0"/>
              <w:rPr>
                <w:sz w:val="20"/>
                <w:szCs w:val="20"/>
                <w:color w:val="auto"/>
              </w:rPr>
            </w:pPr>
            <w:r>
              <w:rPr>
                <w:rFonts w:ascii="Arial" w:cs="Arial" w:eastAsia="Arial" w:hAnsi="Arial"/>
                <w:sz w:val="18"/>
                <w:szCs w:val="18"/>
                <w:color w:val="auto"/>
              </w:rPr>
              <w:t>Date: October 28, 2026</w:t>
            </w:r>
          </w:p>
        </w:tc>
        <w:tc>
          <w:tcPr>
            <w:tcW w:w="2200" w:type="dxa"/>
            <w:vAlign w:val="bottom"/>
          </w:tcPr>
          <w:p>
            <w:pPr>
              <w:ind w:left="162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Jepsen</w:t>
            </w:r>
          </w:p>
        </w:tc>
      </w:tr>
      <w:tr>
        <w:trPr>
          <w:trHeight w:val="218"/>
        </w:trPr>
        <w:tc>
          <w:tcPr>
            <w:tcW w:w="3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Joshua Jepsen</w:t>
            </w:r>
          </w:p>
        </w:tc>
      </w:tr>
      <w:tr>
        <w:trPr>
          <w:trHeight w:val="239"/>
        </w:trPr>
        <w:tc>
          <w:tcPr>
            <w:tcW w:w="3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decimal"/>
      <w:start w:val="2"/>
    </w:lvl>
  </w:abstractNum>
  <w:abstractNum w:abstractNumId="33">
    <w:nsid w:val="32FFF902"/>
    <w:multiLevelType w:val="hybridMultilevel"/>
    <w:lvl w:ilvl="0">
      <w:lvlJc w:val="left"/>
      <w:lvlText w:val="%1."/>
      <w:numFmt w:val="decimal"/>
      <w:start w:val="5"/>
    </w:lvl>
  </w:abstractNum>
  <w:abstractNum w:abstractNumId="34">
    <w:nsid w:val="684A481A"/>
    <w:multiLevelType w:val="hybridMultilevel"/>
    <w:lvl w:ilvl="0">
      <w:lvlJc w:val="left"/>
      <w:lvlText w:val="(%1)"/>
      <w:numFmt w:val="lowerRoman"/>
      <w:start w:val="3"/>
    </w:lvl>
    <w:lvl w:ilvl="1">
      <w:lvlJc w:val="left"/>
      <w:lvlText w:val="(%2)"/>
      <w:numFmt w:val="upperLetter"/>
      <w:start w:val="1"/>
    </w:lvl>
  </w:abstractNum>
  <w:abstractNum w:abstractNumId="35">
    <w:nsid w:val="579478FE"/>
    <w:multiLevelType w:val="hybridMultilevel"/>
    <w:lvl w:ilvl="0">
      <w:lvlJc w:val="left"/>
      <w:lvlText w:val="(%1)"/>
      <w:numFmt w:val="lowerRoman"/>
      <w:start w:val="1"/>
    </w:lvl>
  </w:abstractNum>
  <w:abstractNum w:abstractNumId="36">
    <w:nsid w:val="749ABB43"/>
    <w:multiLevelType w:val="hybridMultilevel"/>
    <w:lvl w:ilvl="0">
      <w:lvlJc w:val="left"/>
      <w:lvlText w:val="%1"/>
      <w:numFmt w:val="lowerLetter"/>
      <w:start w:val="1"/>
    </w:lvl>
    <w:lvl w:ilvl="1">
      <w:lvlJc w:val="left"/>
      <w:lvlText w:val="(%2)"/>
      <w:numFmt w:val="lowerRoman"/>
      <w:start w:val="2"/>
    </w:lvl>
  </w:abstractNum>
  <w:abstractNum w:abstractNumId="37">
    <w:nsid w:val="3DC240FB"/>
    <w:multiLevelType w:val="hybridMultilevel"/>
    <w:lvl w:ilvl="0">
      <w:lvlJc w:val="left"/>
      <w:lvlText w:val="%1."/>
      <w:numFmt w:val="lowerLetter"/>
      <w:start w:val="3"/>
    </w:lvl>
    <w:lvl w:ilvl="1">
      <w:lvlJc w:val="left"/>
      <w:lvlText w:val="%2"/>
      <w:numFmt w:val="lowerRoman"/>
      <w:start w:val="1"/>
    </w:lvl>
  </w:abstractNum>
  <w:abstractNum w:abstractNumId="38">
    <w:nsid w:val="1BA026FA"/>
    <w:multiLevelType w:val="hybridMultilevel"/>
    <w:lvl w:ilvl="0">
      <w:lvlJc w:val="left"/>
      <w:lvlText w:val="%1."/>
      <w:numFmt w:val="decimal"/>
      <w:start w:val="9"/>
    </w:lvl>
  </w:abstractNum>
  <w:abstractNum w:abstractNumId="39">
    <w:nsid w:val="79A1DEAA"/>
    <w:multiLevelType w:val="hybridMultilevel"/>
    <w:lvl w:ilvl="0">
      <w:lvlJc w:val="left"/>
      <w:lvlText w:val="%1."/>
      <w:numFmt w:val="lowerLetter"/>
      <w:start w:val="2"/>
    </w:lvl>
    <w:lvl w:ilvl="1">
      <w:lvlJc w:val="left"/>
      <w:lvlText w:val="%2."/>
      <w:numFmt w:val="decimal"/>
      <w:start w:val="1"/>
    </w:lvl>
  </w:abstractNum>
  <w:abstractNum w:abstractNumId="40">
    <w:nsid w:val="75C6C33A"/>
    <w:multiLevelType w:val="hybridMultilevel"/>
    <w:lvl w:ilvl="0">
      <w:lvlJc w:val="left"/>
      <w:lvlText w:val="%1"/>
      <w:numFmt w:val="decimal"/>
      <w:start w:val="1"/>
    </w:lvl>
    <w:lvl w:ilvl="1">
      <w:lvlJc w:val="left"/>
      <w:lvlText w:val="%2."/>
      <w:numFmt w:val="decimal"/>
      <w:start w:val="2"/>
    </w:lvl>
  </w:abstractNum>
  <w:abstractNum w:abstractNumId="41">
    <w:nsid w:val="12E685FB"/>
    <w:multiLevelType w:val="hybridMultilevel"/>
    <w:lvl w:ilvl="0">
      <w:lvlJc w:val="left"/>
      <w:lvlText w:val="%1."/>
      <w:numFmt w:val="decimal"/>
      <w:start w:val="12"/>
    </w:lvl>
    <w:lvl w:ilvl="1">
      <w:lvlJc w:val="left"/>
      <w:lvlText w:val="%2"/>
      <w:numFmt w:val="decimal"/>
      <w:start w:val="1"/>
    </w:lvl>
  </w:abstractNum>
  <w:abstractNum w:abstractNumId="42">
    <w:nsid w:val="70C6A529"/>
    <w:multiLevelType w:val="hybridMultilevel"/>
    <w:lvl w:ilvl="0">
      <w:lvlJc w:val="left"/>
      <w:lvlText w:val="%1."/>
      <w:numFmt w:val="decimal"/>
      <w:start w:val="13"/>
    </w:lvl>
  </w:abstractNum>
  <w:abstractNum w:abstractNumId="43">
    <w:nsid w:val="520EEDD1"/>
    <w:multiLevelType w:val="hybridMultilevel"/>
    <w:lvl w:ilvl="0">
      <w:lvlJc w:val="left"/>
      <w:lvlText w:val="%1."/>
      <w:numFmt w:val="decimal"/>
      <w:start w:val="17"/>
    </w:lvl>
  </w:abstractNum>
  <w:abstractNum w:abstractNumId="44">
    <w:nsid w:val="374A3FE6"/>
    <w:multiLevelType w:val="hybridMultilevel"/>
    <w:lvl w:ilvl="0">
      <w:lvlJc w:val="left"/>
      <w:lvlText w:val="%1."/>
      <w:numFmt w:val="decimal"/>
      <w:start w:val="18"/>
    </w:lvl>
  </w:abstractNum>
  <w:abstractNum w:abstractNumId="45">
    <w:nsid w:val="4F4EF005"/>
    <w:multiLevelType w:val="hybridMultilevel"/>
    <w:lvl w:ilvl="0">
      <w:lvlJc w:val="left"/>
      <w:lvlText w:val="%1."/>
      <w:numFmt w:val="decimal"/>
      <w:start w:val="19"/>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decimal"/>
      <w:start w:val="2"/>
    </w:lvl>
  </w:abstractNum>
  <w:abstractNum w:abstractNumId="48">
    <w:nsid w:val="275AC794"/>
    <w:multiLevelType w:val="hybridMultilevel"/>
    <w:lvl w:ilvl="0">
      <w:lvlJc w:val="left"/>
      <w:lvlText w:val="(%1)"/>
      <w:numFmt w:val="upperLetter"/>
      <w:start w:val="1"/>
    </w:lvl>
  </w:abstractNum>
  <w:abstractNum w:abstractNumId="49">
    <w:nsid w:val="39386575"/>
    <w:multiLevelType w:val="hybridMultilevel"/>
    <w:lvl w:ilvl="0">
      <w:lvlJc w:val="left"/>
      <w:lvlText w:val="%1"/>
      <w:numFmt w:val="decimal"/>
      <w:start w:val="1"/>
    </w:lvl>
    <w:lvl w:ilvl="1">
      <w:lvlJc w:val="left"/>
      <w:lvlText w:val="(%2)"/>
      <w:numFmt w:val="upperLetter"/>
      <w:start w:val="2"/>
    </w:lvl>
  </w:abstractNum>
  <w:abstractNum w:abstractNumId="50">
    <w:nsid w:val="1CF10FD8"/>
    <w:multiLevelType w:val="hybridMultilevel"/>
    <w:lvl w:ilvl="0">
      <w:lvlJc w:val="left"/>
      <w:lvlText w:val="%1."/>
      <w:numFmt w:val="decimal"/>
      <w:start w:val="8"/>
    </w:lvl>
    <w:lvl w:ilvl="1">
      <w:lvlJc w:val="left"/>
      <w:lvlText w:val="%2"/>
      <w:numFmt w:val="upperLetter"/>
      <w:start w:val="1"/>
    </w:lvl>
  </w:abstractNum>
  <w:abstractNum w:abstractNumId="51">
    <w:nsid w:val="180115BE"/>
    <w:multiLevelType w:val="hybridMultilevel"/>
    <w:lvl w:ilvl="0">
      <w:lvlJc w:val="left"/>
      <w:lvlText w:val="%1."/>
      <w:numFmt w:val="lowerLetter"/>
      <w:start w:val="2"/>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2"/>
    </w:lvl>
  </w:abstractNum>
  <w:abstractNum w:abstractNumId="54">
    <w:nsid w:val="354FE9F9"/>
    <w:multiLevelType w:val="hybridMultilevel"/>
    <w:lvl w:ilvl="0">
      <w:lvlJc w:val="left"/>
      <w:lvlText w:val="%1"/>
      <w:numFmt w:val="decimal"/>
      <w:start w:val="1"/>
    </w:lvl>
    <w:lvl w:ilvl="1">
      <w:lvlJc w:val="left"/>
      <w:lvlText w:val="%2."/>
      <w:numFmt w:val="decimal"/>
      <w:start w:val="3"/>
    </w:lvl>
  </w:abstractNum>
  <w:abstractNum w:abstractNumId="55">
    <w:nsid w:val="15B5AF5C"/>
    <w:multiLevelType w:val="hybridMultilevel"/>
    <w:lvl w:ilvl="0">
      <w:lvlJc w:val="left"/>
      <w:lvlText w:val="%1."/>
      <w:numFmt w:val="decimal"/>
      <w:start w:val="12"/>
    </w:lvl>
    <w:lvl w:ilvl="1">
      <w:lvlJc w:val="left"/>
      <w:lvlText w:val="%2"/>
      <w:numFmt w:val="decimal"/>
      <w:start w:val="1"/>
    </w:lvl>
  </w:abstractNum>
  <w:abstractNum w:abstractNumId="56">
    <w:nsid w:val="741226BB"/>
    <w:multiLevelType w:val="hybridMultilevel"/>
    <w:lvl w:ilvl="0">
      <w:lvlJc w:val="left"/>
      <w:lvlText w:val="%1."/>
      <w:numFmt w:val="decimal"/>
      <w:start w:val="17"/>
    </w:lvl>
  </w:abstractNum>
  <w:abstractNum w:abstractNumId="57">
    <w:nsid w:val="D34B6A8"/>
    <w:multiLevelType w:val="hybridMultilevel"/>
    <w:lvl w:ilvl="0">
      <w:lvlJc w:val="left"/>
      <w:lvlText w:val="%1."/>
      <w:numFmt w:val="decimal"/>
      <w:start w:val="18"/>
    </w:lvl>
  </w:abstractNum>
  <w:abstractNum w:abstractNumId="58">
    <w:nsid w:val="10233C99"/>
    <w:multiLevelType w:val="hybridMultilevel"/>
    <w:lvl w:ilvl="0">
      <w:lvlJc w:val="left"/>
      <w:lvlText w:val="%1."/>
      <w:numFmt w:val="decimal"/>
      <w:start w:val="20"/>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96"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82" Type="http://schemas.openxmlformats.org/officeDocument/2006/relationships/hyperlink" Target="https://www.sec.gov/Archives/edgar/data/2089271/000162828026045874/exhibit21-closing8xk.htm" TargetMode="External"/><Relationship Id="rId83" Type="http://schemas.openxmlformats.org/officeDocument/2006/relationships/hyperlink" Target="https://www.sec.gov/Archives/edgar/data/2089271/000162828026045874/exhibit31-closing8xk.htm" TargetMode="External"/><Relationship Id="rId84" Type="http://schemas.openxmlformats.org/officeDocument/2006/relationships/hyperlink" Target="https://www.sec.gov/Archives/edgar/data/2089271/000162828026045874/exhibit32-closing8xk.htm" TargetMode="External"/><Relationship Id="rId85" Type="http://schemas.openxmlformats.org/officeDocument/2006/relationships/hyperlink" Target="https://www.sec.gov/Archives/edgar/data/2089271/000162828026045874/exhibit101-closing8xk.htm" TargetMode="External"/><Relationship Id="rId86" Type="http://schemas.openxmlformats.org/officeDocument/2006/relationships/hyperlink" Target="https://www.sec.gov/Archives/edgar/data/2089271/000162828026045874/exhibit102-closing8xk.htm" TargetMode="External"/><Relationship Id="rId87" Type="http://schemas.openxmlformats.org/officeDocument/2006/relationships/hyperlink" Target="https://www.sec.gov/Archives/edgar/data/2089271/000162828026045874/exhibit103-closing8xk.htm" TargetMode="External"/><Relationship Id="rId88" Type="http://schemas.openxmlformats.org/officeDocument/2006/relationships/hyperlink" Target="https://www.sec.gov/Archives/edgar/data/2089271/000162828026045874/exhibit104-closing8xk.htm" TargetMode="External"/><Relationship Id="rId89" Type="http://schemas.openxmlformats.org/officeDocument/2006/relationships/hyperlink" Target="https://www.sec.gov/Archives/edgar/data/2089271/000162828026045874/exhibit106-closing8xk.htm" TargetMode="External"/><Relationship Id="rId90" Type="http://schemas.openxmlformats.org/officeDocument/2006/relationships/hyperlink" Target="https://www.sec.gov/Archives/edgar/data/2089271/000162828026045874/exhibit107-closing8xk.htm" TargetMode="External"/><Relationship Id="rId91" Type="http://schemas.openxmlformats.org/officeDocument/2006/relationships/hyperlink" Target="https://www.sec.gov/Archives/edgar/data/2089271/000162828026045874/exhibit108-closing8xk.htm" TargetMode="External"/><Relationship Id="rId92" Type="http://schemas.openxmlformats.org/officeDocument/2006/relationships/hyperlink" Target="https://www.sec.gov/Archives/edgar/data/2089271/000162828026045874/exhibit109-closing8xk.htm" TargetMode="External"/><Relationship Id="rId93" Type="http://schemas.openxmlformats.org/officeDocument/2006/relationships/hyperlink" Target="https://www.sec.gov/Archives/edgar/data/2089271/000162828026035212/exhibit1015-10x12ba1.htm" TargetMode="External"/><Relationship Id="rId94" Type="http://schemas.openxmlformats.org/officeDocument/2006/relationships/hyperlink" Target="https://www.sec.gov/Archives/edgar/data/2089271/000208927126000021/exhibit1018honeywellaerosp.htm" TargetMode="External"/><Relationship Id="rId95" Type="http://schemas.openxmlformats.org/officeDocument/2006/relationships/hyperlink" Target="https://www.sec.gov/Archives/edgar/data/2089271/000208927126000021/exhibit1019honeywellaerosp.htm" TargetMode="External"/><Relationship Id="rId97" Type="http://schemas.openxmlformats.org/officeDocument/2006/relationships/hyperlink" Target="https://www.sec.gov/Archives/edgar/data/2089271/000208927126000021/exhibit1020honeywellaerosp.htm" TargetMode="External"/><Relationship Id="rId98" Type="http://schemas.openxmlformats.org/officeDocument/2006/relationships/hyperlink" Target="https://www.sec.gov/Archives/edgar/data/2089271/000208927126000021/exhibit1021honeywellaeros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2026-10-28T16:30:44Z</dcterms:created>
  <dcterms:modified xsi:type="dcterms:W3CDTF">2026-10-28T16:30:44Z</dcterms:modified>
</cp:coreProperties>
</file>