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142087.xml.htm"/>
      <w:bookmarkStart w:id="1" w:name="kswkform4_17861420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ARNOLD CRAIG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HONEYWELL AEROSPACE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1944 E SKY HARBOR CIRCLE N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PHOENIX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85034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Honeywell Aerospace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HONA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980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980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980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602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602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Instrument converts to Issuer's Common Stock on a one-for-one basis.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33% of the restricted stock units will vest on August 3, 2027, 33% of the restricted stock units will vest on August 3, 2028 and 34% of the restricted stock units will vest on August 3, 2029.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restricted stock units shall vest on April 15,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equity awards originally granted by Honeywell International Inc. ("International") that have been adjusted or converted into equity awards of the Issuer in connection with the spin-off of the Issuer from International in accordance with the Employee Matters Agreement, dated June 29, 2026, between the Issuer and International.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Nelson for Craig Arnold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8578" TargetMode="External"/><Relationship Id="rId5" Type="http://schemas.openxmlformats.org/officeDocument/2006/relationships/hyperlink" Target="http://www.sec.gov/cgi-bin/browse-edgar?action=getcompany&amp;CIK=00020892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694</Words>
  <Characters>3723</Characters>
  <CharactersWithSpaces>4334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