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AND EXCHANGE COMMISSION</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9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83" w:lineRule="exact"/>
        <w:rPr>
          <w:sz w:val="24"/>
          <w:szCs w:val="24"/>
          <w:color w:val="auto"/>
        </w:rPr>
      </w:pPr>
    </w:p>
    <w:p>
      <w:pPr>
        <w:ind w:left="4780"/>
        <w:spacing w:after="0"/>
        <w:rPr>
          <w:sz w:val="20"/>
          <w:szCs w:val="20"/>
          <w:color w:val="auto"/>
        </w:rPr>
      </w:pPr>
      <w:r>
        <w:rPr>
          <w:rFonts w:ascii="Arial" w:cs="Arial" w:eastAsia="Arial" w:hAnsi="Arial"/>
          <w:sz w:val="18"/>
          <w:szCs w:val="18"/>
          <w:color w:val="auto"/>
        </w:rPr>
        <w:t>CURRENT REPORT</w:t>
      </w:r>
    </w:p>
    <w:p>
      <w:pPr>
        <w:spacing w:after="0" w:line="50" w:lineRule="exact"/>
        <w:rPr>
          <w:sz w:val="24"/>
          <w:szCs w:val="24"/>
          <w:color w:val="auto"/>
        </w:rPr>
      </w:pPr>
    </w:p>
    <w:p>
      <w:pPr>
        <w:ind w:left="200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 October 28, 2026</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earliest event reported)</w:t>
      </w:r>
    </w:p>
    <w:p>
      <w:pPr>
        <w:spacing w:after="0" w:line="30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HONEYWELL AEROSPACE INC.</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15" w:lineRule="exact"/>
        <w:rPr>
          <w:sz w:val="24"/>
          <w:szCs w:val="24"/>
          <w:color w:val="auto"/>
        </w:rPr>
      </w:pPr>
    </w:p>
    <w:tbl>
      <w:tblPr>
        <w:tblLayout w:type="fixed"/>
        <w:tblInd w:w="780" w:type="dxa"/>
        <w:tblCellMar>
          <w:top w:w="0" w:type="dxa"/>
          <w:left w:w="0" w:type="dxa"/>
          <w:bottom w:w="0" w:type="dxa"/>
          <w:right w:w="0" w:type="dxa"/>
        </w:tblCellMar>
      </w:tblPr>
      <w:tr>
        <w:trPr>
          <w:trHeight w:val="229"/>
        </w:trPr>
        <w:tc>
          <w:tcPr>
            <w:tcW w:w="3700" w:type="dxa"/>
            <w:vAlign w:val="bottom"/>
          </w:tcPr>
          <w:p>
            <w:pPr>
              <w:jc w:val="center"/>
              <w:ind w:right="1350"/>
              <w:spacing w:after="0"/>
              <w:rPr>
                <w:sz w:val="20"/>
                <w:szCs w:val="20"/>
                <w:color w:val="auto"/>
              </w:rPr>
            </w:pPr>
            <w:r>
              <w:rPr>
                <w:rFonts w:ascii="Arial" w:cs="Arial" w:eastAsia="Arial" w:hAnsi="Arial"/>
                <w:sz w:val="18"/>
                <w:szCs w:val="18"/>
                <w:b w:val="1"/>
                <w:bCs w:val="1"/>
                <w:color w:val="auto"/>
                <w:w w:val="98"/>
              </w:rPr>
              <w:t>Delaware</w:t>
            </w:r>
          </w:p>
        </w:tc>
        <w:tc>
          <w:tcPr>
            <w:tcW w:w="2880" w:type="dxa"/>
            <w:vAlign w:val="bottom"/>
          </w:tcPr>
          <w:p>
            <w:pPr>
              <w:jc w:val="right"/>
              <w:ind w:right="1170"/>
              <w:spacing w:after="0"/>
              <w:rPr>
                <w:sz w:val="20"/>
                <w:szCs w:val="20"/>
                <w:color w:val="auto"/>
              </w:rPr>
            </w:pPr>
            <w:r>
              <w:rPr>
                <w:rFonts w:ascii="Arial" w:cs="Arial" w:eastAsia="Arial" w:hAnsi="Arial"/>
                <w:sz w:val="18"/>
                <w:szCs w:val="18"/>
                <w:b w:val="1"/>
                <w:bCs w:val="1"/>
                <w:color w:val="auto"/>
              </w:rPr>
              <w:t>001-43173</w:t>
            </w:r>
          </w:p>
        </w:tc>
        <w:tc>
          <w:tcPr>
            <w:tcW w:w="3200" w:type="dxa"/>
            <w:vAlign w:val="bottom"/>
          </w:tcPr>
          <w:p>
            <w:pPr>
              <w:jc w:val="center"/>
              <w:ind w:left="710"/>
              <w:spacing w:after="0"/>
              <w:rPr>
                <w:sz w:val="20"/>
                <w:szCs w:val="20"/>
                <w:color w:val="auto"/>
              </w:rPr>
            </w:pPr>
            <w:r>
              <w:rPr>
                <w:rFonts w:ascii="Arial" w:cs="Arial" w:eastAsia="Arial" w:hAnsi="Arial"/>
                <w:sz w:val="18"/>
                <w:szCs w:val="18"/>
                <w:b w:val="1"/>
                <w:bCs w:val="1"/>
                <w:color w:val="auto"/>
                <w:w w:val="99"/>
              </w:rPr>
              <w:t>39-4202057</w:t>
            </w:r>
          </w:p>
        </w:tc>
        <w:tc>
          <w:tcPr>
            <w:tcW w:w="0" w:type="dxa"/>
            <w:vAlign w:val="bottom"/>
          </w:tcPr>
          <w:p>
            <w:pPr>
              <w:spacing w:after="0"/>
              <w:rPr>
                <w:sz w:val="1"/>
                <w:szCs w:val="1"/>
                <w:color w:val="auto"/>
              </w:rPr>
            </w:pPr>
          </w:p>
        </w:tc>
      </w:tr>
      <w:tr>
        <w:trPr>
          <w:trHeight w:val="239"/>
        </w:trPr>
        <w:tc>
          <w:tcPr>
            <w:tcW w:w="3700" w:type="dxa"/>
            <w:vAlign w:val="bottom"/>
            <w:vMerge w:val="restart"/>
          </w:tcPr>
          <w:p>
            <w:pPr>
              <w:jc w:val="center"/>
              <w:ind w:right="1350"/>
              <w:spacing w:after="0"/>
              <w:rPr>
                <w:sz w:val="20"/>
                <w:szCs w:val="20"/>
                <w:color w:val="auto"/>
              </w:rPr>
            </w:pPr>
            <w:r>
              <w:rPr>
                <w:rFonts w:ascii="Arial" w:cs="Arial" w:eastAsia="Arial" w:hAnsi="Arial"/>
                <w:sz w:val="18"/>
                <w:szCs w:val="18"/>
                <w:color w:val="auto"/>
              </w:rPr>
              <w:t>(State or other jurisdiction of</w:t>
            </w:r>
          </w:p>
        </w:tc>
        <w:tc>
          <w:tcPr>
            <w:tcW w:w="2880" w:type="dxa"/>
            <w:vAlign w:val="bottom"/>
          </w:tcPr>
          <w:p>
            <w:pPr>
              <w:jc w:val="center"/>
              <w:ind w:right="410"/>
              <w:spacing w:after="0"/>
              <w:rPr>
                <w:sz w:val="20"/>
                <w:szCs w:val="20"/>
                <w:color w:val="auto"/>
              </w:rPr>
            </w:pPr>
            <w:r>
              <w:rPr>
                <w:rFonts w:ascii="Arial" w:cs="Arial" w:eastAsia="Arial" w:hAnsi="Arial"/>
                <w:sz w:val="18"/>
                <w:szCs w:val="18"/>
                <w:color w:val="auto"/>
                <w:w w:val="99"/>
              </w:rPr>
              <w:t>(Commission File Number)</w:t>
            </w:r>
          </w:p>
        </w:tc>
        <w:tc>
          <w:tcPr>
            <w:tcW w:w="3200" w:type="dxa"/>
            <w:vAlign w:val="bottom"/>
            <w:vMerge w:val="restart"/>
          </w:tcPr>
          <w:p>
            <w:pPr>
              <w:jc w:val="center"/>
              <w:ind w:left="730"/>
              <w:spacing w:after="0"/>
              <w:rPr>
                <w:sz w:val="20"/>
                <w:szCs w:val="20"/>
                <w:color w:val="auto"/>
              </w:rPr>
            </w:pPr>
            <w:r>
              <w:rPr>
                <w:rFonts w:ascii="Arial" w:cs="Arial" w:eastAsia="Arial" w:hAnsi="Arial"/>
                <w:sz w:val="18"/>
                <w:szCs w:val="18"/>
                <w:color w:val="auto"/>
                <w:w w:val="99"/>
              </w:rPr>
              <w:t>(I.R.S. Employer Identification</w:t>
            </w:r>
          </w:p>
        </w:tc>
        <w:tc>
          <w:tcPr>
            <w:tcW w:w="0" w:type="dxa"/>
            <w:vAlign w:val="bottom"/>
          </w:tcPr>
          <w:p>
            <w:pPr>
              <w:spacing w:after="0"/>
              <w:rPr>
                <w:sz w:val="1"/>
                <w:szCs w:val="1"/>
                <w:color w:val="auto"/>
              </w:rPr>
            </w:pPr>
          </w:p>
        </w:tc>
      </w:tr>
      <w:tr>
        <w:trPr>
          <w:trHeight w:val="58"/>
        </w:trPr>
        <w:tc>
          <w:tcPr>
            <w:tcW w:w="3700" w:type="dxa"/>
            <w:vAlign w:val="bottom"/>
            <w:vMerge w:val="continue"/>
          </w:tcPr>
          <w:p>
            <w:pPr>
              <w:spacing w:after="0"/>
              <w:rPr>
                <w:sz w:val="5"/>
                <w:szCs w:val="5"/>
                <w:color w:val="auto"/>
              </w:rPr>
            </w:pPr>
          </w:p>
        </w:tc>
        <w:tc>
          <w:tcPr>
            <w:tcW w:w="2880" w:type="dxa"/>
            <w:vAlign w:val="bottom"/>
          </w:tcPr>
          <w:p>
            <w:pPr>
              <w:spacing w:after="0"/>
              <w:rPr>
                <w:sz w:val="5"/>
                <w:szCs w:val="5"/>
                <w:color w:val="auto"/>
              </w:rPr>
            </w:pP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3700" w:type="dxa"/>
            <w:vAlign w:val="bottom"/>
          </w:tcPr>
          <w:p>
            <w:pPr>
              <w:jc w:val="center"/>
              <w:ind w:right="1350"/>
              <w:spacing w:after="0"/>
              <w:rPr>
                <w:sz w:val="20"/>
                <w:szCs w:val="20"/>
                <w:color w:val="auto"/>
              </w:rPr>
            </w:pPr>
            <w:r>
              <w:rPr>
                <w:rFonts w:ascii="Arial" w:cs="Arial" w:eastAsia="Arial" w:hAnsi="Arial"/>
                <w:sz w:val="18"/>
                <w:szCs w:val="18"/>
                <w:color w:val="auto"/>
                <w:w w:val="99"/>
              </w:rPr>
              <w:t>incorporation)</w:t>
            </w:r>
          </w:p>
        </w:tc>
        <w:tc>
          <w:tcPr>
            <w:tcW w:w="2880" w:type="dxa"/>
            <w:vAlign w:val="bottom"/>
          </w:tcPr>
          <w:p>
            <w:pPr>
              <w:spacing w:after="0"/>
              <w:rPr>
                <w:sz w:val="20"/>
                <w:szCs w:val="20"/>
                <w:color w:val="auto"/>
              </w:rPr>
            </w:pPr>
          </w:p>
        </w:tc>
        <w:tc>
          <w:tcPr>
            <w:tcW w:w="3200" w:type="dxa"/>
            <w:vAlign w:val="bottom"/>
          </w:tcPr>
          <w:p>
            <w:pPr>
              <w:jc w:val="center"/>
              <w:ind w:left="730"/>
              <w:spacing w:after="0"/>
              <w:rPr>
                <w:sz w:val="20"/>
                <w:szCs w:val="20"/>
                <w:color w:val="auto"/>
              </w:rPr>
            </w:pPr>
            <w:r>
              <w:rPr>
                <w:rFonts w:ascii="Arial" w:cs="Arial" w:eastAsia="Arial" w:hAnsi="Arial"/>
                <w:sz w:val="18"/>
                <w:szCs w:val="18"/>
                <w:color w:val="auto"/>
                <w:w w:val="99"/>
              </w:rPr>
              <w:t>Number)</w:t>
            </w:r>
          </w:p>
        </w:tc>
        <w:tc>
          <w:tcPr>
            <w:tcW w:w="0" w:type="dxa"/>
            <w:vAlign w:val="bottom"/>
          </w:tcPr>
          <w:p>
            <w:pPr>
              <w:spacing w:after="0"/>
              <w:rPr>
                <w:sz w:val="1"/>
                <w:szCs w:val="1"/>
                <w:color w:val="auto"/>
              </w:rPr>
            </w:pPr>
          </w:p>
        </w:tc>
      </w:tr>
      <w:tr>
        <w:trPr>
          <w:trHeight w:val="436"/>
        </w:trPr>
        <w:tc>
          <w:tcPr>
            <w:tcW w:w="3700" w:type="dxa"/>
            <w:vAlign w:val="bottom"/>
          </w:tcPr>
          <w:p>
            <w:pPr>
              <w:jc w:val="center"/>
              <w:ind w:left="310"/>
              <w:spacing w:after="0"/>
              <w:rPr>
                <w:sz w:val="20"/>
                <w:szCs w:val="20"/>
                <w:color w:val="auto"/>
              </w:rPr>
            </w:pPr>
            <w:r>
              <w:rPr>
                <w:rFonts w:ascii="Arial" w:cs="Arial" w:eastAsia="Arial" w:hAnsi="Arial"/>
                <w:sz w:val="18"/>
                <w:szCs w:val="18"/>
                <w:b w:val="1"/>
                <w:bCs w:val="1"/>
                <w:color w:val="auto"/>
                <w:w w:val="99"/>
              </w:rPr>
              <w:t>1944 E Sky Harbor Cir N</w:t>
            </w:r>
          </w:p>
        </w:tc>
        <w:tc>
          <w:tcPr>
            <w:tcW w:w="28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700" w:type="dxa"/>
            <w:vAlign w:val="bottom"/>
          </w:tcPr>
          <w:p>
            <w:pPr>
              <w:jc w:val="center"/>
              <w:ind w:left="310"/>
              <w:spacing w:after="0"/>
              <w:rPr>
                <w:sz w:val="20"/>
                <w:szCs w:val="20"/>
                <w:color w:val="auto"/>
              </w:rPr>
            </w:pPr>
            <w:r>
              <w:rPr>
                <w:rFonts w:ascii="Arial" w:cs="Arial" w:eastAsia="Arial" w:hAnsi="Arial"/>
                <w:sz w:val="18"/>
                <w:szCs w:val="18"/>
                <w:b w:val="1"/>
                <w:bCs w:val="1"/>
                <w:color w:val="auto"/>
                <w:w w:val="99"/>
              </w:rPr>
              <w:t>Phoenix, Arizona</w:t>
            </w:r>
          </w:p>
        </w:tc>
        <w:tc>
          <w:tcPr>
            <w:tcW w:w="2880" w:type="dxa"/>
            <w:vAlign w:val="bottom"/>
          </w:tcPr>
          <w:p>
            <w:pPr>
              <w:spacing w:after="0"/>
              <w:rPr>
                <w:sz w:val="21"/>
                <w:szCs w:val="21"/>
                <w:color w:val="auto"/>
              </w:rPr>
            </w:pPr>
          </w:p>
        </w:tc>
        <w:tc>
          <w:tcPr>
            <w:tcW w:w="3200" w:type="dxa"/>
            <w:vAlign w:val="bottom"/>
          </w:tcPr>
          <w:p>
            <w:pPr>
              <w:jc w:val="right"/>
              <w:ind w:right="1790"/>
              <w:spacing w:after="0"/>
              <w:rPr>
                <w:sz w:val="20"/>
                <w:szCs w:val="20"/>
                <w:color w:val="auto"/>
              </w:rPr>
            </w:pPr>
            <w:r>
              <w:rPr>
                <w:rFonts w:ascii="Arial" w:cs="Arial" w:eastAsia="Arial" w:hAnsi="Arial"/>
                <w:sz w:val="18"/>
                <w:szCs w:val="18"/>
                <w:b w:val="1"/>
                <w:bCs w:val="1"/>
                <w:color w:val="auto"/>
              </w:rPr>
              <w:t>85034</w:t>
            </w:r>
          </w:p>
        </w:tc>
        <w:tc>
          <w:tcPr>
            <w:tcW w:w="0" w:type="dxa"/>
            <w:vAlign w:val="bottom"/>
          </w:tcPr>
          <w:p>
            <w:pPr>
              <w:spacing w:after="0"/>
              <w:rPr>
                <w:sz w:val="1"/>
                <w:szCs w:val="1"/>
                <w:color w:val="auto"/>
              </w:rPr>
            </w:pPr>
          </w:p>
        </w:tc>
      </w:tr>
      <w:tr>
        <w:trPr>
          <w:trHeight w:val="356"/>
        </w:trPr>
        <w:tc>
          <w:tcPr>
            <w:tcW w:w="3700" w:type="dxa"/>
            <w:vAlign w:val="bottom"/>
          </w:tcPr>
          <w:p>
            <w:pPr>
              <w:jc w:val="center"/>
              <w:ind w:left="290"/>
              <w:spacing w:after="0"/>
              <w:rPr>
                <w:sz w:val="20"/>
                <w:szCs w:val="20"/>
                <w:color w:val="auto"/>
              </w:rPr>
            </w:pPr>
            <w:r>
              <w:rPr>
                <w:rFonts w:ascii="Arial" w:cs="Arial" w:eastAsia="Arial" w:hAnsi="Arial"/>
                <w:sz w:val="18"/>
                <w:szCs w:val="18"/>
                <w:color w:val="auto"/>
                <w:w w:val="99"/>
              </w:rPr>
              <w:t>(Address of principal executive offices)</w:t>
            </w:r>
          </w:p>
        </w:tc>
        <w:tc>
          <w:tcPr>
            <w:tcW w:w="2880" w:type="dxa"/>
            <w:vAlign w:val="bottom"/>
          </w:tcPr>
          <w:p>
            <w:pPr>
              <w:spacing w:after="0"/>
              <w:rPr>
                <w:sz w:val="24"/>
                <w:szCs w:val="24"/>
                <w:color w:val="auto"/>
              </w:rPr>
            </w:pPr>
          </w:p>
        </w:tc>
        <w:tc>
          <w:tcPr>
            <w:tcW w:w="3200" w:type="dxa"/>
            <w:vAlign w:val="bottom"/>
          </w:tcPr>
          <w:p>
            <w:pPr>
              <w:jc w:val="center"/>
              <w:ind w:right="970"/>
              <w:spacing w:after="0"/>
              <w:rPr>
                <w:sz w:val="20"/>
                <w:szCs w:val="20"/>
                <w:color w:val="auto"/>
              </w:rPr>
            </w:pPr>
            <w:r>
              <w:rPr>
                <w:rFonts w:ascii="Arial" w:cs="Arial" w:eastAsia="Arial" w:hAnsi="Arial"/>
                <w:sz w:val="18"/>
                <w:szCs w:val="18"/>
                <w:color w:val="auto"/>
              </w:rPr>
              <w:t>(Zip Code)</w:t>
            </w:r>
          </w:p>
        </w:tc>
        <w:tc>
          <w:tcPr>
            <w:tcW w:w="0" w:type="dxa"/>
            <w:vAlign w:val="bottom"/>
          </w:tcPr>
          <w:p>
            <w:pPr>
              <w:spacing w:after="0"/>
              <w:rPr>
                <w:sz w:val="1"/>
                <w:szCs w:val="1"/>
                <w:color w:val="auto"/>
              </w:rPr>
            </w:pPr>
          </w:p>
        </w:tc>
      </w:tr>
    </w:tbl>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601-3099</w:t>
      </w:r>
    </w:p>
    <w:p>
      <w:pPr>
        <w:spacing w:after="0" w:line="293" w:lineRule="exact"/>
        <w:rPr>
          <w:sz w:val="24"/>
          <w:szCs w:val="24"/>
          <w:color w:val="auto"/>
        </w:rPr>
      </w:pPr>
    </w:p>
    <w:p>
      <w:pPr>
        <w:ind w:right="140"/>
        <w:spacing w:after="0" w:line="28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0"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29"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660" w:type="dxa"/>
            <w:vAlign w:val="bottom"/>
            <w:gridSpan w:val="3"/>
            <w:vMerge w:val="restart"/>
          </w:tcPr>
          <w:p>
            <w:pPr>
              <w:jc w:val="center"/>
              <w:ind w:right="280"/>
              <w:spacing w:after="0"/>
              <w:rPr>
                <w:sz w:val="20"/>
                <w:szCs w:val="20"/>
                <w:color w:val="auto"/>
              </w:rPr>
            </w:pPr>
            <w:r>
              <w:rPr>
                <w:rFonts w:ascii="Arial" w:cs="Arial" w:eastAsia="Arial" w:hAnsi="Arial"/>
                <w:sz w:val="18"/>
                <w:szCs w:val="18"/>
                <w:color w:val="auto"/>
                <w:w w:val="98"/>
              </w:rPr>
              <w:t>Title of each class</w:t>
            </w: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color w:val="auto"/>
                <w:w w:val="98"/>
              </w:rPr>
              <w:t>Trading</w:t>
            </w:r>
          </w:p>
        </w:tc>
        <w:tc>
          <w:tcPr>
            <w:tcW w:w="5280" w:type="dxa"/>
            <w:vAlign w:val="bottom"/>
            <w:vMerge w:val="restart"/>
          </w:tcPr>
          <w:p>
            <w:pPr>
              <w:jc w:val="center"/>
              <w:spacing w:after="0"/>
              <w:rPr>
                <w:sz w:val="20"/>
                <w:szCs w:val="20"/>
                <w:color w:val="auto"/>
              </w:rPr>
            </w:pPr>
            <w:r>
              <w:rPr>
                <w:rFonts w:ascii="Arial" w:cs="Arial" w:eastAsia="Arial" w:hAnsi="Arial"/>
                <w:sz w:val="18"/>
                <w:szCs w:val="18"/>
                <w:color w:val="auto"/>
                <w:w w:val="99"/>
              </w:rPr>
              <w:t>Name of each exchange on which registered</w:t>
            </w:r>
          </w:p>
        </w:tc>
        <w:tc>
          <w:tcPr>
            <w:tcW w:w="0" w:type="dxa"/>
            <w:vAlign w:val="bottom"/>
          </w:tcPr>
          <w:p>
            <w:pPr>
              <w:spacing w:after="0"/>
              <w:rPr>
                <w:sz w:val="1"/>
                <w:szCs w:val="1"/>
                <w:color w:val="auto"/>
              </w:rPr>
            </w:pPr>
          </w:p>
        </w:tc>
      </w:tr>
      <w:tr>
        <w:trPr>
          <w:trHeight w:val="243"/>
        </w:trPr>
        <w:tc>
          <w:tcPr>
            <w:tcW w:w="4660" w:type="dxa"/>
            <w:vAlign w:val="bottom"/>
            <w:gridSpan w:val="3"/>
            <w:vMerge w:val="continue"/>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color w:val="auto"/>
                <w:w w:val="98"/>
              </w:rPr>
              <w:t>Symbol(s)</w:t>
            </w:r>
          </w:p>
        </w:tc>
        <w:tc>
          <w:tcPr>
            <w:tcW w:w="5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Common Stock, par value $0.01 per share</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8"/>
              </w:rPr>
              <w:t>HONA</w:t>
            </w:r>
          </w:p>
        </w:tc>
        <w:tc>
          <w:tcPr>
            <w:tcW w:w="100" w:type="dxa"/>
            <w:vAlign w:val="bottom"/>
          </w:tcPr>
          <w:p>
            <w:pPr>
              <w:spacing w:after="0"/>
              <w:rPr>
                <w:sz w:val="20"/>
                <w:szCs w:val="20"/>
                <w:color w:val="auto"/>
              </w:rPr>
            </w:pPr>
          </w:p>
        </w:tc>
        <w:tc>
          <w:tcPr>
            <w:tcW w:w="5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315"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8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308" w:lineRule="exact"/>
        <w:rPr>
          <w:sz w:val="24"/>
          <w:szCs w:val="24"/>
          <w:color w:val="auto"/>
        </w:rPr>
      </w:pPr>
    </w:p>
    <w:p>
      <w:pPr>
        <w:ind w:right="20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998220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79" w:lineRule="exact"/>
        <w:rPr>
          <w:sz w:val="20"/>
          <w:szCs w:val="20"/>
          <w:color w:val="auto"/>
        </w:rPr>
      </w:pPr>
    </w:p>
    <w:p>
      <w:pPr>
        <w:jc w:val="both"/>
        <w:ind w:right="40"/>
        <w:spacing w:after="0" w:line="308" w:lineRule="auto"/>
        <w:rPr>
          <w:sz w:val="20"/>
          <w:szCs w:val="20"/>
          <w:color w:val="auto"/>
        </w:rPr>
      </w:pPr>
      <w:r>
        <w:rPr>
          <w:rFonts w:ascii="Arial" w:cs="Arial" w:eastAsia="Arial" w:hAnsi="Arial"/>
          <w:sz w:val="18"/>
          <w:szCs w:val="18"/>
          <w:color w:val="auto"/>
        </w:rPr>
        <w:t>On October 28, 2026, Honeywell Aerospace Inc. (the “Company”) issued a press release announcing its financial results for the third quarter ended September 26, 2026. A copy of the press release is furnished as Exhibit 99.1 to this Current Report on Form 8-K and is incorporated into this Item 2.02 by reference.</w:t>
      </w:r>
    </w:p>
    <w:p>
      <w:pPr>
        <w:spacing w:after="0" w:line="202" w:lineRule="exact"/>
        <w:rPr>
          <w:sz w:val="20"/>
          <w:szCs w:val="20"/>
          <w:color w:val="auto"/>
        </w:rPr>
      </w:pPr>
    </w:p>
    <w:p>
      <w:pPr>
        <w:ind w:right="80"/>
        <w:spacing w:after="0" w:line="299" w:lineRule="auto"/>
        <w:rPr>
          <w:sz w:val="20"/>
          <w:szCs w:val="20"/>
          <w:color w:val="auto"/>
        </w:rPr>
      </w:pPr>
      <w:r>
        <w:rPr>
          <w:rFonts w:ascii="Arial" w:cs="Arial" w:eastAsia="Arial" w:hAnsi="Arial"/>
          <w:sz w:val="18"/>
          <w:szCs w:val="18"/>
          <w:color w:val="auto"/>
        </w:rPr>
        <w:t>The information furnished pursuant to this Item 2.02,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(the “Securities Act”), or the Exchange Act.</w:t>
      </w:r>
    </w:p>
    <w:p>
      <w:pPr>
        <w:spacing w:after="0" w:line="2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279"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On October 28, 2026, the Company issued a press release announcing plans for a significant expansion of its manufacturing facilities in Tempe, Arizona. A copy of the press release is furnished as Exhibit 99.2 to this Current Report on Form 8-K and is incorporated into this Item 7.01 by reference.</w:t>
      </w:r>
    </w:p>
    <w:p>
      <w:pPr>
        <w:spacing w:after="0" w:line="202" w:lineRule="exact"/>
        <w:rPr>
          <w:sz w:val="20"/>
          <w:szCs w:val="20"/>
          <w:color w:val="auto"/>
        </w:rPr>
      </w:pPr>
    </w:p>
    <w:p>
      <w:pPr>
        <w:ind w:right="20"/>
        <w:spacing w:after="0" w:line="308" w:lineRule="auto"/>
        <w:rPr>
          <w:sz w:val="20"/>
          <w:szCs w:val="20"/>
          <w:color w:val="auto"/>
        </w:rPr>
      </w:pPr>
      <w:r>
        <w:rPr>
          <w:rFonts w:ascii="Arial" w:cs="Arial" w:eastAsia="Arial" w:hAnsi="Arial"/>
          <w:sz w:val="18"/>
          <w:szCs w:val="18"/>
          <w:color w:val="auto"/>
        </w:rPr>
        <w:t>The information furnished pursuant to this Item 7.01, including Exhibit 99.2, shall not be deemed “filed” for purposes of Section 18 of the Exchange Act or otherwise subject to the liabilities under that Section and shall not be deemed to be incorporated by reference into any filing of the Company under the Securities Act or the Exchange Act, except as shall be expressly set forth by specific reference in such filing.</w:t>
      </w:r>
    </w:p>
    <w:p>
      <w:pPr>
        <w:spacing w:after="0" w:line="2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7"/>
          <w:szCs w:val="17"/>
          <w:b w:val="1"/>
          <w:bCs w:val="1"/>
          <w:color w:val="auto"/>
        </w:rPr>
        <w:t>Other Events</w:t>
      </w:r>
    </w:p>
    <w:p>
      <w:pPr>
        <w:spacing w:after="0" w:line="279" w:lineRule="exact"/>
        <w:rPr>
          <w:sz w:val="20"/>
          <w:szCs w:val="20"/>
          <w:color w:val="auto"/>
        </w:rPr>
      </w:pPr>
    </w:p>
    <w:p>
      <w:pPr>
        <w:jc w:val="both"/>
        <w:ind w:right="180"/>
        <w:spacing w:after="0" w:line="308" w:lineRule="auto"/>
        <w:rPr>
          <w:sz w:val="20"/>
          <w:szCs w:val="20"/>
          <w:color w:val="auto"/>
        </w:rPr>
      </w:pPr>
      <w:r>
        <w:rPr>
          <w:rFonts w:ascii="Arial" w:cs="Arial" w:eastAsia="Arial" w:hAnsi="Arial"/>
          <w:sz w:val="18"/>
          <w:szCs w:val="18"/>
          <w:color w:val="auto"/>
        </w:rPr>
        <w:t>On October 28, 2026, the Company announced that its Board of Directors declared its first quarterly cash dividend on its common stock as an independent public company of $0.40 per share of its common stock. The dividend is payable on December 4, 2026, to shareholders of record as of the close of business on November 13, 2026.</w:t>
      </w:r>
    </w:p>
    <w:p>
      <w:pPr>
        <w:spacing w:after="0" w:line="2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ectPr>
          <w:pgSz w:w="11900" w:h="16838" w:orient="portrait"/>
          <w:cols w:equalWidth="0" w:num="1">
            <w:col w:w="11200"/>
          </w:cols>
          <w:pgMar w:left="320" w:top="904" w:right="37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left="100"/>
        <w:spacing w:after="0"/>
        <w:rPr>
          <w:sz w:val="20"/>
          <w:szCs w:val="20"/>
          <w:color w:val="auto"/>
        </w:rPr>
      </w:pPr>
      <w:r>
        <w:rPr>
          <w:rFonts w:ascii="Arial" w:cs="Arial" w:eastAsia="Arial" w:hAnsi="Arial"/>
          <w:sz w:val="17"/>
          <w:szCs w:val="17"/>
          <w:b w:val="1"/>
          <w:bCs w:val="1"/>
          <w:color w:val="auto"/>
        </w:rPr>
        <w:t>Exhibit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9683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95"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99.1</w:t>
      </w:r>
    </w:p>
    <w:p>
      <w:pPr>
        <w:spacing w:after="0" w:line="36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99.2</w:t>
      </w:r>
    </w:p>
    <w:p>
      <w:pPr>
        <w:spacing w:after="0" w:line="37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60325</wp:posOffset>
            </wp:positionV>
            <wp:extent cx="57689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68975" cy="8890"/>
                    </a:xfrm>
                    <a:prstGeom prst="rect">
                      <a:avLst/>
                    </a:prstGeom>
                    <a:noFill/>
                  </pic:spPr>
                </pic:pic>
              </a:graphicData>
            </a:graphic>
          </wp:anchor>
        </w:drawing>
      </w:r>
    </w:p>
    <w:p>
      <w:pPr>
        <w:spacing w:after="0" w:line="151"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u w:val="single" w:color="auto"/>
          <w:color w:val="0000FF"/>
        </w:rPr>
        <w:t>Honeywell Aerospace Inc. Earnings Press Release dated October 28, 2026, announcing third quarter 2026 financial results.</w:t>
      </w:r>
    </w:p>
    <w:p>
      <w:pPr>
        <w:spacing w:after="0" w:line="1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u w:val="single" w:color="auto"/>
          <w:color w:val="0000FF"/>
        </w:rPr>
        <w:t>Press Release of Honeywell Aerospace Inc., dated October 28, 2026, announcing the Tempe, Arizona facility expansion.</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663575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440" w:space="720"/>
            <w:col w:w="9040"/>
          </w:cols>
          <w:pgMar w:left="320" w:top="904" w:right="379" w:bottom="1440" w:gutter="0" w:footer="0" w:header="0"/>
          <w:type w:val="continuous"/>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93" w:lineRule="exact"/>
        <w:rPr>
          <w:sz w:val="20"/>
          <w:szCs w:val="20"/>
          <w:color w:val="auto"/>
        </w:rPr>
      </w:pPr>
    </w:p>
    <w:p>
      <w:pPr>
        <w:ind w:firstLine="648"/>
        <w:spacing w:after="0" w:line="31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64" w:lineRule="exact"/>
        <w:rPr>
          <w:sz w:val="20"/>
          <w:szCs w:val="20"/>
          <w:color w:val="auto"/>
        </w:rPr>
      </w:pPr>
    </w:p>
    <w:p>
      <w:pPr>
        <w:ind w:left="240"/>
        <w:spacing w:after="0"/>
        <w:tabs>
          <w:tab w:leader="none" w:pos="5320" w:val="left"/>
        </w:tabs>
        <w:rPr>
          <w:sz w:val="20"/>
          <w:szCs w:val="20"/>
          <w:color w:val="auto"/>
        </w:rPr>
      </w:pPr>
      <w:r>
        <w:rPr>
          <w:rFonts w:ascii="Arial" w:cs="Arial" w:eastAsia="Arial" w:hAnsi="Arial"/>
          <w:sz w:val="18"/>
          <w:szCs w:val="18"/>
          <w:color w:val="auto"/>
        </w:rPr>
        <w:t>Date: October 28, 2026</w:t>
      </w:r>
      <w:r>
        <w:rPr>
          <w:sz w:val="20"/>
          <w:szCs w:val="20"/>
          <w:color w:val="auto"/>
        </w:rPr>
        <w:tab/>
      </w:r>
      <w:r>
        <w:rPr>
          <w:rFonts w:ascii="Arial" w:cs="Arial" w:eastAsia="Arial" w:hAnsi="Arial"/>
          <w:sz w:val="17"/>
          <w:szCs w:val="17"/>
          <w:color w:val="auto"/>
        </w:rPr>
        <w:t>HONEYWELL AEROSPACE INC.</w:t>
      </w:r>
    </w:p>
    <w:p>
      <w:pPr>
        <w:spacing w:after="0" w:line="374"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 Donofrio</w:t>
      </w:r>
    </w:p>
    <w:p>
      <w:pPr>
        <w:spacing w:after="0" w:line="7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John Donofrio</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Senior Vice President, General Counsel and</w:t>
      </w:r>
    </w:p>
    <w:p>
      <w:pPr>
        <w:ind w:left="5340"/>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1080"/>
          </w:cols>
          <w:pgMar w:left="320" w:top="904" w:right="4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057400" cy="436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740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020" w:type="dxa"/>
            <w:vAlign w:val="bottom"/>
          </w:tcPr>
          <w:p>
            <w:pPr>
              <w:spacing w:after="0"/>
              <w:rPr>
                <w:sz w:val="20"/>
                <w:szCs w:val="20"/>
                <w:color w:val="auto"/>
              </w:rPr>
            </w:pPr>
            <w:r>
              <w:rPr>
                <w:rFonts w:ascii="Arial" w:cs="Arial" w:eastAsia="Arial" w:hAnsi="Arial"/>
                <w:sz w:val="18"/>
                <w:szCs w:val="18"/>
                <w:color w:val="auto"/>
              </w:rPr>
              <w:t>Contacts:</w:t>
            </w:r>
          </w:p>
        </w:tc>
        <w:tc>
          <w:tcPr>
            <w:tcW w:w="228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521"/>
        </w:trPr>
        <w:tc>
          <w:tcPr>
            <w:tcW w:w="3020" w:type="dxa"/>
            <w:vAlign w:val="bottom"/>
          </w:tcPr>
          <w:p>
            <w:pPr>
              <w:spacing w:after="0"/>
              <w:rPr>
                <w:sz w:val="20"/>
                <w:szCs w:val="20"/>
                <w:color w:val="auto"/>
              </w:rPr>
            </w:pPr>
            <w:r>
              <w:rPr>
                <w:rFonts w:ascii="Arial" w:cs="Arial" w:eastAsia="Arial" w:hAnsi="Arial"/>
                <w:sz w:val="18"/>
                <w:szCs w:val="18"/>
                <w:b w:val="1"/>
                <w:bCs w:val="1"/>
                <w:color w:val="auto"/>
              </w:rPr>
              <w:t>Media</w:t>
            </w:r>
          </w:p>
        </w:tc>
        <w:tc>
          <w:tcPr>
            <w:tcW w:w="2280" w:type="dxa"/>
            <w:vAlign w:val="bottom"/>
          </w:tcPr>
          <w:p>
            <w:pPr>
              <w:spacing w:after="0"/>
              <w:rPr>
                <w:sz w:val="24"/>
                <w:szCs w:val="24"/>
                <w:color w:val="auto"/>
              </w:rPr>
            </w:pPr>
          </w:p>
        </w:tc>
        <w:tc>
          <w:tcPr>
            <w:tcW w:w="3160" w:type="dxa"/>
            <w:vAlign w:val="bottom"/>
          </w:tcPr>
          <w:p>
            <w:pPr>
              <w:spacing w:after="0"/>
              <w:rPr>
                <w:sz w:val="20"/>
                <w:szCs w:val="20"/>
                <w:color w:val="auto"/>
              </w:rPr>
            </w:pPr>
            <w:r>
              <w:rPr>
                <w:rFonts w:ascii="Arial" w:cs="Arial" w:eastAsia="Arial" w:hAnsi="Arial"/>
                <w:sz w:val="18"/>
                <w:szCs w:val="18"/>
                <w:b w:val="1"/>
                <w:bCs w:val="1"/>
                <w:color w:val="auto"/>
              </w:rPr>
              <w:t>Investor Relations</w:t>
            </w:r>
          </w:p>
        </w:tc>
      </w:tr>
      <w:tr>
        <w:trPr>
          <w:trHeight w:val="249"/>
        </w:trPr>
        <w:tc>
          <w:tcPr>
            <w:tcW w:w="3020" w:type="dxa"/>
            <w:vAlign w:val="bottom"/>
          </w:tcPr>
          <w:p>
            <w:pPr>
              <w:spacing w:after="0"/>
              <w:rPr>
                <w:sz w:val="20"/>
                <w:szCs w:val="20"/>
                <w:color w:val="auto"/>
              </w:rPr>
            </w:pPr>
            <w:r>
              <w:rPr>
                <w:rFonts w:ascii="Arial" w:cs="Arial" w:eastAsia="Arial" w:hAnsi="Arial"/>
                <w:sz w:val="18"/>
                <w:szCs w:val="18"/>
                <w:color w:val="auto"/>
              </w:rPr>
              <w:t>Brian Grace</w:t>
            </w:r>
          </w:p>
        </w:tc>
        <w:tc>
          <w:tcPr>
            <w:tcW w:w="2280" w:type="dxa"/>
            <w:vAlign w:val="bottom"/>
          </w:tcPr>
          <w:p>
            <w:pPr>
              <w:spacing w:after="0"/>
              <w:rPr>
                <w:sz w:val="21"/>
                <w:szCs w:val="21"/>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Sean Meakim</w:t>
            </w:r>
          </w:p>
        </w:tc>
      </w:tr>
      <w:tr>
        <w:trPr>
          <w:trHeight w:val="256"/>
        </w:trPr>
        <w:tc>
          <w:tcPr>
            <w:tcW w:w="3020" w:type="dxa"/>
            <w:vAlign w:val="bottom"/>
          </w:tcPr>
          <w:p>
            <w:pPr>
              <w:spacing w:after="0"/>
              <w:rPr>
                <w:sz w:val="20"/>
                <w:szCs w:val="20"/>
                <w:color w:val="auto"/>
              </w:rPr>
            </w:pPr>
            <w:r>
              <w:rPr>
                <w:rFonts w:ascii="Arial" w:cs="Arial" w:eastAsia="Arial" w:hAnsi="Arial"/>
                <w:sz w:val="18"/>
                <w:szCs w:val="18"/>
                <w:color w:val="auto"/>
              </w:rPr>
              <w:t>(602) 897-0205</w:t>
            </w:r>
          </w:p>
        </w:tc>
        <w:tc>
          <w:tcPr>
            <w:tcW w:w="5440" w:type="dxa"/>
            <w:vAlign w:val="bottom"/>
            <w:gridSpan w:val="2"/>
          </w:tcPr>
          <w:p>
            <w:pPr>
              <w:ind w:left="2280"/>
              <w:spacing w:after="0"/>
              <w:rPr>
                <w:sz w:val="20"/>
                <w:szCs w:val="20"/>
                <w:color w:val="auto"/>
              </w:rPr>
            </w:pPr>
            <w:r>
              <w:rPr>
                <w:rFonts w:ascii="Arial" w:cs="Arial" w:eastAsia="Arial" w:hAnsi="Arial"/>
                <w:sz w:val="18"/>
                <w:szCs w:val="18"/>
                <w:color w:val="auto"/>
              </w:rPr>
              <w:t>(623) 223-5980</w:t>
            </w:r>
          </w:p>
        </w:tc>
      </w:tr>
      <w:tr>
        <w:trPr>
          <w:trHeight w:val="212"/>
        </w:trPr>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Brian.Grace@honeywellaerospace.us</w:t>
            </w:r>
          </w:p>
        </w:tc>
        <w:tc>
          <w:tcPr>
            <w:tcW w:w="2280" w:type="dxa"/>
            <w:vAlign w:val="bottom"/>
          </w:tcPr>
          <w:p>
            <w:pPr>
              <w:spacing w:after="0"/>
              <w:rPr>
                <w:sz w:val="18"/>
                <w:szCs w:val="18"/>
                <w:color w:val="auto"/>
              </w:rPr>
            </w:pPr>
          </w:p>
        </w:tc>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Sean.Meakim@honeywellaerospace.us</w:t>
            </w: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Aerospace reports third quarter results;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updates 2026 outlook</w:t>
      </w:r>
    </w:p>
    <w:p>
      <w:pPr>
        <w:spacing w:after="0" w:line="177"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Sales of $4.6 billion, reported and organic</w:t>
      </w:r>
      <w:r>
        <w:rPr>
          <w:rFonts w:ascii="Arial" w:cs="Arial" w:eastAsia="Arial" w:hAnsi="Arial"/>
          <w:sz w:val="23"/>
          <w:szCs w:val="23"/>
          <w:i w:val="1"/>
          <w:iCs w:val="1"/>
          <w:color w:val="auto"/>
          <w:vertAlign w:val="superscript"/>
        </w:rPr>
        <w:t>1</w:t>
      </w:r>
      <w:r>
        <w:rPr>
          <w:rFonts w:ascii="Arial" w:cs="Arial" w:eastAsia="Arial" w:hAnsi="Arial"/>
          <w:sz w:val="18"/>
          <w:szCs w:val="18"/>
          <w:i w:val="1"/>
          <w:iCs w:val="1"/>
          <w:color w:val="auto"/>
        </w:rPr>
        <w:t xml:space="preserve"> sales up 2% year over year</w:t>
      </w:r>
    </w:p>
    <w:p>
      <w:pPr>
        <w:ind w:left="620" w:hanging="288"/>
        <w:spacing w:after="0" w:line="196" w:lineRule="auto"/>
        <w:tabs>
          <w:tab w:leader="none" w:pos="6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Net income of $0.7 billion; adjusted EBIT</w:t>
      </w:r>
      <w:r>
        <w:rPr>
          <w:rFonts w:ascii="Arial" w:cs="Arial" w:eastAsia="Arial" w:hAnsi="Arial"/>
          <w:sz w:val="23"/>
          <w:szCs w:val="23"/>
          <w:i w:val="1"/>
          <w:iCs w:val="1"/>
          <w:color w:val="auto"/>
          <w:vertAlign w:val="superscript"/>
        </w:rPr>
        <w:t>1</w:t>
      </w:r>
      <w:r>
        <w:rPr>
          <w:rFonts w:ascii="Arial" w:cs="Arial" w:eastAsia="Arial" w:hAnsi="Arial"/>
          <w:sz w:val="18"/>
          <w:szCs w:val="18"/>
          <w:i w:val="1"/>
          <w:iCs w:val="1"/>
          <w:color w:val="auto"/>
        </w:rPr>
        <w:t xml:space="preserve"> of $1.2 billion, up 1% despite incremental standalone costs</w:t>
      </w:r>
    </w:p>
    <w:p>
      <w:pPr>
        <w:ind w:left="620" w:hanging="288"/>
        <w:spacing w:after="0" w:line="196" w:lineRule="auto"/>
        <w:tabs>
          <w:tab w:leader="none" w:pos="6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Raises full-year pro forma standalone adjusted earnings per share</w:t>
      </w:r>
      <w:r>
        <w:rPr>
          <w:rFonts w:ascii="Arial" w:cs="Arial" w:eastAsia="Arial" w:hAnsi="Arial"/>
          <w:sz w:val="23"/>
          <w:szCs w:val="23"/>
          <w:i w:val="1"/>
          <w:iCs w:val="1"/>
          <w:color w:val="auto"/>
          <w:vertAlign w:val="superscript"/>
        </w:rPr>
        <w:t>1</w:t>
      </w:r>
      <w:r>
        <w:rPr>
          <w:rFonts w:ascii="Arial" w:cs="Arial" w:eastAsia="Arial" w:hAnsi="Arial"/>
          <w:sz w:val="18"/>
          <w:szCs w:val="18"/>
          <w:i w:val="1"/>
          <w:iCs w:val="1"/>
          <w:color w:val="auto"/>
        </w:rPr>
        <w:t xml:space="preserve"> and second half free cash flow</w:t>
      </w:r>
      <w:r>
        <w:rPr>
          <w:rFonts w:ascii="Arial" w:cs="Arial" w:eastAsia="Arial" w:hAnsi="Arial"/>
          <w:sz w:val="23"/>
          <w:szCs w:val="23"/>
          <w:i w:val="1"/>
          <w:iCs w:val="1"/>
          <w:color w:val="auto"/>
          <w:vertAlign w:val="superscript"/>
        </w:rPr>
        <w:t>1</w:t>
      </w:r>
      <w:r>
        <w:rPr>
          <w:rFonts w:ascii="Arial" w:cs="Arial" w:eastAsia="Arial" w:hAnsi="Arial"/>
          <w:sz w:val="18"/>
          <w:szCs w:val="18"/>
          <w:i w:val="1"/>
          <w:iCs w:val="1"/>
          <w:color w:val="auto"/>
        </w:rPr>
        <w:t xml:space="preserve"> guidance</w:t>
      </w:r>
    </w:p>
    <w:p>
      <w:pPr>
        <w:ind w:left="620" w:hanging="288"/>
        <w:spacing w:after="0"/>
        <w:tabs>
          <w:tab w:leader="none" w:pos="6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Board declares inaugural quarterly dividend payment of $0.40 per share on the company’s common stock</w:t>
      </w:r>
    </w:p>
    <w:p>
      <w:pPr>
        <w:spacing w:after="0" w:line="234" w:lineRule="exact"/>
        <w:rPr>
          <w:sz w:val="20"/>
          <w:szCs w:val="20"/>
          <w:color w:val="auto"/>
        </w:rPr>
      </w:pPr>
    </w:p>
    <w:p>
      <w:pPr>
        <w:jc w:val="both"/>
        <w:spacing w:after="0" w:line="225" w:lineRule="auto"/>
        <w:rPr>
          <w:sz w:val="20"/>
          <w:szCs w:val="20"/>
          <w:color w:val="auto"/>
        </w:rPr>
      </w:pPr>
      <w:r>
        <w:rPr>
          <w:rFonts w:ascii="Arial" w:cs="Arial" w:eastAsia="Arial" w:hAnsi="Arial"/>
          <w:sz w:val="18"/>
          <w:szCs w:val="18"/>
          <w:b w:val="1"/>
          <w:bCs w:val="1"/>
          <w:color w:val="auto"/>
        </w:rPr>
        <w:t xml:space="preserve">PHOENIX, October 28, 2026 </w:t>
      </w:r>
      <w:r>
        <w:rPr>
          <w:rFonts w:ascii="Arial" w:cs="Arial" w:eastAsia="Arial" w:hAnsi="Arial"/>
          <w:sz w:val="18"/>
          <w:szCs w:val="18"/>
          <w:color w:val="auto"/>
        </w:rPr>
        <w:t>-- Honeywell Aerospace (Nasdaq: HONA) today announced results for the third quarter and declared its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quarterly dividend. The company also raised its full-year 2026 pro forma standalone adjusted earnings per share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and second half 2026 free cash flow</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guidance ranges, maintained its full-year organic</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sales outlook, and narrowed its full-year pro forma standalone adjusted EBIT</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guidance range.</w:t>
      </w:r>
    </w:p>
    <w:p>
      <w:pPr>
        <w:spacing w:after="0" w:line="2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“Honeywell Aerospace delivered results above our expectations in its first quarter as a standalone company, increasing sales and adjusted EBIT sequentially and year over year as we accelerate investments to drive greater output and better serve our customers. Demand for our solutions remains robust with 9% orders growth over the last 12 months,” said Jim Currier, Chief Executive Officer of Honeywell Aerospace. “We are seeing encouraging signs from pacing suppliers as we deepen our commitment to enduring partnerships. This progress, combined with ongoing qualification of additional material sources, positions us for higher sales and output growth in 2027 and beyond.”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dividend declaration</w:t>
      </w:r>
    </w:p>
    <w:p>
      <w:pPr>
        <w:spacing w:after="0" w:line="2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Honeywell Aerospace’s Board of Directors has approved a quarterly cash dividend of $0.40 per share of its common stock. The dividend is payable on December 4, 2026, to shareholders of record as of the close of business on November 13, 2026.</w:t>
      </w:r>
    </w:p>
    <w:p>
      <w:pPr>
        <w:spacing w:after="0" w:line="198"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Currier added, “The Board’s decision to declare a regular dividend underscores the visibility into our durable free cash flow growth in the years ahead. Paying a competitive, growing dividend is a key component of our capital allocation strategy designed to deliver substantial shareholder value while maintaining financial flexibility and a strong investment-grade credit rating.”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Honeywell Aerospace highlights</w:t>
      </w:r>
    </w:p>
    <w:p>
      <w:pPr>
        <w:spacing w:after="0" w:line="27" w:lineRule="exact"/>
        <w:rPr>
          <w:sz w:val="20"/>
          <w:szCs w:val="20"/>
          <w:color w:val="auto"/>
        </w:rPr>
      </w:pPr>
    </w:p>
    <w:p>
      <w:pPr>
        <w:ind w:left="660" w:hanging="328"/>
        <w:spacing w:after="0" w:line="250"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Year to date, the company has secured more than $20 billion in new wins (estimated lifetime value) supported by the following announcements:</w:t>
      </w:r>
    </w:p>
    <w:p>
      <w:pPr>
        <w:jc w:val="both"/>
        <w:ind w:left="1300" w:hanging="320"/>
        <w:spacing w:after="0" w:line="250" w:lineRule="auto"/>
        <w:tabs>
          <w:tab w:leader="none" w:pos="1283"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U.S. Air Force advanced Honeywell Aerospace’s SkyShot 1600 engine, which is designed to meet all mission-critical performance parameters for collaborative combat aircraft and unmanned aircraft systems, into Preliminary Design Review as part of its Autonomous Collaborative Platform program.</w:t>
      </w:r>
    </w:p>
    <w:p>
      <w:pPr>
        <w:spacing w:after="0" w:line="1" w:lineRule="exact"/>
        <w:rPr>
          <w:rFonts w:ascii="Arial" w:cs="Arial" w:eastAsia="Arial" w:hAnsi="Arial"/>
          <w:sz w:val="18"/>
          <w:szCs w:val="18"/>
          <w:color w:val="auto"/>
        </w:rPr>
      </w:pPr>
    </w:p>
    <w:p>
      <w:pPr>
        <w:jc w:val="both"/>
        <w:ind w:left="1300" w:hanging="320"/>
        <w:spacing w:after="0" w:line="250" w:lineRule="auto"/>
        <w:tabs>
          <w:tab w:leader="none" w:pos="1269" w:val="left"/>
        </w:tabs>
        <w:numPr>
          <w:ilvl w:val="1"/>
          <w:numId w:val="3"/>
        </w:numPr>
        <w:rPr>
          <w:rFonts w:ascii="Arial" w:cs="Arial" w:eastAsia="Arial" w:hAnsi="Arial"/>
          <w:sz w:val="18"/>
          <w:szCs w:val="18"/>
          <w:color w:val="auto"/>
        </w:rPr>
      </w:pPr>
      <w:r>
        <w:rPr>
          <w:rFonts w:ascii="Arial" w:cs="Arial" w:eastAsia="Arial" w:hAnsi="Arial"/>
          <w:sz w:val="18"/>
          <w:szCs w:val="18"/>
          <w:color w:val="auto"/>
        </w:rPr>
        <w:t>Honeywell Aerospace secured over $2 billion in new awards to provide its advanced navigation and RF systems for several missiles and munitions programs, including some initial contracts on platforms prioritized by the Munitions Acceleration Council.</w:t>
      </w:r>
    </w:p>
    <w:p>
      <w:pPr>
        <w:spacing w:after="0" w:line="1" w:lineRule="exact"/>
        <w:rPr>
          <w:rFonts w:ascii="Arial" w:cs="Arial" w:eastAsia="Arial" w:hAnsi="Arial"/>
          <w:sz w:val="18"/>
          <w:szCs w:val="18"/>
          <w:color w:val="auto"/>
        </w:rPr>
      </w:pPr>
    </w:p>
    <w:p>
      <w:pPr>
        <w:jc w:val="both"/>
        <w:ind w:left="1300" w:hanging="320"/>
        <w:spacing w:after="0" w:line="258"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City of Phoenix Aviation Department signed an agreement with Honeywell Aerospace to study how to translate the company’s Surface Alert (SURF-A) technology to ground vehicle operators on tarmacs, taxiways, and runways at three local airports, including Phoenix Sky Harbor International.</w:t>
      </w:r>
    </w:p>
    <w:p>
      <w:pPr>
        <w:sectPr>
          <w:pgSz w:w="11900" w:h="16838" w:orient="portrait"/>
          <w:cols w:equalWidth="0" w:num="1">
            <w:col w:w="11240"/>
          </w:cols>
          <w:pgMar w:left="320" w:top="89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Honeywell Aerospace 3Q26 Results - 2</w:t>
      </w:r>
    </w:p>
    <w:p>
      <w:pPr>
        <w:spacing w:after="0" w:line="320" w:lineRule="exact"/>
        <w:rPr>
          <w:sz w:val="20"/>
          <w:szCs w:val="20"/>
          <w:color w:val="auto"/>
        </w:rPr>
      </w:pPr>
    </w:p>
    <w:p>
      <w:pPr>
        <w:jc w:val="both"/>
        <w:ind w:left="660" w:hanging="328"/>
        <w:spacing w:after="0" w:line="257"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announced a 300,000 square foot expansion of its Tempe, Arizona manufacturing facility, expected to open in late 2028. The new facility adds capacity, lean manufacturing, automation, and supply-chain resilience to support current Control Systems production, recent wins, and next generation platforms.</w:t>
      </w:r>
    </w:p>
    <w:p>
      <w:pPr>
        <w:spacing w:after="0" w:line="1" w:lineRule="exact"/>
        <w:rPr>
          <w:rFonts w:ascii="Arial" w:cs="Arial" w:eastAsia="Arial" w:hAnsi="Arial"/>
          <w:sz w:val="18"/>
          <w:szCs w:val="18"/>
          <w:color w:val="auto"/>
        </w:rPr>
      </w:pPr>
    </w:p>
    <w:p>
      <w:pPr>
        <w:jc w:val="both"/>
        <w:ind w:left="660" w:hanging="328"/>
        <w:spacing w:after="0" w:line="258"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Honeywell Aerospace presented an update on its supply chain transformation at a September investor conference. Key messages from the presentation included root causes and actions underway for the constraints from a small number of mechanical suppliers currently limiting output growth.</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financial results</w:t>
      </w:r>
    </w:p>
    <w:p>
      <w:pPr>
        <w:spacing w:after="0" w:line="2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Honeywell Aerospace sales for the third quarter increased 2% on a reported and organic¹ basis year over year. Backlog grew to $ 19.3 billion at quarter end, up 12% from the prior year, and trailing twelve-months orders were up 9%, led by Defense and Space. Adjusted EBIT</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up 1%, including both an approximately $50 million net benefit from International Emergency Economic Powers Act (IEEPA) tariff refunds and new costs necessary as an independent public company.</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860" w:type="dxa"/>
            <w:vAlign w:val="bottom"/>
            <w:tcBorders>
              <w:bottom w:val="single" w:sz="8" w:color="FF4400"/>
            </w:tcBorders>
          </w:tcPr>
          <w:p>
            <w:pPr>
              <w:ind w:left="20"/>
              <w:spacing w:after="0"/>
              <w:rPr>
                <w:sz w:val="20"/>
                <w:szCs w:val="20"/>
                <w:color w:val="auto"/>
              </w:rPr>
            </w:pPr>
            <w:r>
              <w:rPr>
                <w:rFonts w:ascii="Arial" w:cs="Arial" w:eastAsia="Arial" w:hAnsi="Arial"/>
                <w:sz w:val="18"/>
                <w:szCs w:val="18"/>
                <w:i w:val="1"/>
                <w:iCs w:val="1"/>
                <w:color w:val="auto"/>
              </w:rPr>
              <w:t>($ in millions, except per share amounts)</w:t>
            </w:r>
          </w:p>
        </w:tc>
        <w:tc>
          <w:tcPr>
            <w:tcW w:w="3120" w:type="dxa"/>
            <w:vAlign w:val="bottom"/>
            <w:tcBorders>
              <w:bottom w:val="single" w:sz="8" w:color="FF4400"/>
            </w:tcBorders>
          </w:tcPr>
          <w:p>
            <w:pPr>
              <w:ind w:left="1600"/>
              <w:spacing w:after="0"/>
              <w:rPr>
                <w:sz w:val="20"/>
                <w:szCs w:val="20"/>
                <w:color w:val="auto"/>
              </w:rPr>
            </w:pPr>
            <w:r>
              <w:rPr>
                <w:rFonts w:ascii="Arial" w:cs="Arial" w:eastAsia="Arial" w:hAnsi="Arial"/>
                <w:sz w:val="14"/>
                <w:szCs w:val="14"/>
                <w:b w:val="1"/>
                <w:bCs w:val="1"/>
                <w:color w:val="auto"/>
              </w:rPr>
              <w:t>3Q 2026</w:t>
            </w:r>
          </w:p>
        </w:tc>
        <w:tc>
          <w:tcPr>
            <w:tcW w:w="1240" w:type="dxa"/>
            <w:vAlign w:val="bottom"/>
            <w:tcBorders>
              <w:bottom w:val="single" w:sz="8" w:color="FF4400"/>
            </w:tcBorders>
          </w:tcPr>
          <w:p>
            <w:pPr>
              <w:ind w:left="100"/>
              <w:spacing w:after="0"/>
              <w:rPr>
                <w:sz w:val="20"/>
                <w:szCs w:val="20"/>
                <w:color w:val="auto"/>
              </w:rPr>
            </w:pPr>
            <w:r>
              <w:rPr>
                <w:rFonts w:ascii="Arial" w:cs="Arial" w:eastAsia="Arial" w:hAnsi="Arial"/>
                <w:sz w:val="14"/>
                <w:szCs w:val="14"/>
                <w:b w:val="1"/>
                <w:bCs w:val="1"/>
                <w:color w:val="auto"/>
              </w:rPr>
              <w:t>3Q 2025</w:t>
            </w:r>
          </w:p>
        </w:tc>
        <w:tc>
          <w:tcPr>
            <w:tcW w:w="2000" w:type="dxa"/>
            <w:vAlign w:val="bottom"/>
            <w:tcBorders>
              <w:bottom w:val="single" w:sz="8" w:color="FF4400"/>
            </w:tcBorders>
          </w:tcPr>
          <w:p>
            <w:pPr>
              <w:ind w:left="480"/>
              <w:spacing w:after="0"/>
              <w:rPr>
                <w:sz w:val="20"/>
                <w:szCs w:val="20"/>
                <w:color w:val="auto"/>
              </w:rPr>
            </w:pPr>
            <w:r>
              <w:rPr>
                <w:rFonts w:ascii="Arial" w:cs="Arial" w:eastAsia="Arial" w:hAnsi="Arial"/>
                <w:sz w:val="14"/>
                <w:szCs w:val="14"/>
                <w:b w:val="1"/>
                <w:bCs w:val="1"/>
                <w:color w:val="auto"/>
              </w:rPr>
              <w:t>% Change</w:t>
            </w:r>
          </w:p>
        </w:tc>
      </w:tr>
      <w:tr>
        <w:trPr>
          <w:trHeight w:val="244"/>
        </w:trPr>
        <w:tc>
          <w:tcPr>
            <w:tcW w:w="486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Backlog</w:t>
            </w:r>
          </w:p>
        </w:tc>
        <w:tc>
          <w:tcPr>
            <w:tcW w:w="3120" w:type="dxa"/>
            <w:vAlign w:val="bottom"/>
            <w:tcBorders>
              <w:bottom w:val="single" w:sz="8" w:color="384348"/>
            </w:tcBorders>
          </w:tcPr>
          <w:p>
            <w:pPr>
              <w:ind w:left="1600"/>
              <w:spacing w:after="0"/>
              <w:rPr>
                <w:sz w:val="20"/>
                <w:szCs w:val="20"/>
                <w:color w:val="auto"/>
              </w:rPr>
            </w:pPr>
            <w:r>
              <w:rPr>
                <w:rFonts w:ascii="Arial" w:cs="Arial" w:eastAsia="Arial" w:hAnsi="Arial"/>
                <w:sz w:val="18"/>
                <w:szCs w:val="18"/>
                <w:color w:val="auto"/>
              </w:rPr>
              <w:t>$19,324</w:t>
            </w:r>
          </w:p>
        </w:tc>
        <w:tc>
          <w:tcPr>
            <w:tcW w:w="1240" w:type="dxa"/>
            <w:vAlign w:val="bottom"/>
            <w:tcBorders>
              <w:bottom w:val="single" w:sz="8" w:color="384348"/>
            </w:tcBorders>
          </w:tcPr>
          <w:p>
            <w:pPr>
              <w:ind w:left="100"/>
              <w:spacing w:after="0"/>
              <w:rPr>
                <w:sz w:val="20"/>
                <w:szCs w:val="20"/>
                <w:color w:val="auto"/>
              </w:rPr>
            </w:pPr>
            <w:r>
              <w:rPr>
                <w:rFonts w:ascii="Arial" w:cs="Arial" w:eastAsia="Arial" w:hAnsi="Arial"/>
                <w:sz w:val="18"/>
                <w:szCs w:val="18"/>
                <w:color w:val="auto"/>
              </w:rPr>
              <w:t>$17,255</w:t>
            </w:r>
          </w:p>
        </w:tc>
        <w:tc>
          <w:tcPr>
            <w:tcW w:w="2000" w:type="dxa"/>
            <w:vAlign w:val="bottom"/>
            <w:tcBorders>
              <w:bottom w:val="single" w:sz="8" w:color="384348"/>
            </w:tcBorders>
          </w:tcPr>
          <w:p>
            <w:pPr>
              <w:ind w:left="480"/>
              <w:spacing w:after="0"/>
              <w:rPr>
                <w:sz w:val="20"/>
                <w:szCs w:val="20"/>
                <w:color w:val="auto"/>
              </w:rPr>
            </w:pPr>
            <w:r>
              <w:rPr>
                <w:rFonts w:ascii="Arial" w:cs="Arial" w:eastAsia="Arial" w:hAnsi="Arial"/>
                <w:sz w:val="18"/>
                <w:szCs w:val="18"/>
                <w:color w:val="auto"/>
              </w:rPr>
              <w:t>12%</w:t>
            </w:r>
          </w:p>
        </w:tc>
      </w:tr>
      <w:tr>
        <w:trPr>
          <w:trHeight w:val="250"/>
        </w:trPr>
        <w:tc>
          <w:tcPr>
            <w:tcW w:w="486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Sales</w:t>
            </w:r>
          </w:p>
        </w:tc>
        <w:tc>
          <w:tcPr>
            <w:tcW w:w="3120" w:type="dxa"/>
            <w:vAlign w:val="bottom"/>
            <w:tcBorders>
              <w:bottom w:val="single" w:sz="8" w:color="384348"/>
            </w:tcBorders>
          </w:tcPr>
          <w:p>
            <w:pPr>
              <w:ind w:left="1600"/>
              <w:spacing w:after="0"/>
              <w:rPr>
                <w:sz w:val="20"/>
                <w:szCs w:val="20"/>
                <w:color w:val="auto"/>
              </w:rPr>
            </w:pPr>
            <w:r>
              <w:rPr>
                <w:rFonts w:ascii="Arial" w:cs="Arial" w:eastAsia="Arial" w:hAnsi="Arial"/>
                <w:sz w:val="18"/>
                <w:szCs w:val="18"/>
                <w:color w:val="auto"/>
              </w:rPr>
              <w:t>$4,644</w:t>
            </w:r>
          </w:p>
        </w:tc>
        <w:tc>
          <w:tcPr>
            <w:tcW w:w="1240" w:type="dxa"/>
            <w:vAlign w:val="bottom"/>
            <w:tcBorders>
              <w:bottom w:val="single" w:sz="8" w:color="384348"/>
            </w:tcBorders>
          </w:tcPr>
          <w:p>
            <w:pPr>
              <w:ind w:left="100"/>
              <w:spacing w:after="0"/>
              <w:rPr>
                <w:sz w:val="20"/>
                <w:szCs w:val="20"/>
                <w:color w:val="auto"/>
              </w:rPr>
            </w:pPr>
            <w:r>
              <w:rPr>
                <w:rFonts w:ascii="Arial" w:cs="Arial" w:eastAsia="Arial" w:hAnsi="Arial"/>
                <w:sz w:val="18"/>
                <w:szCs w:val="18"/>
                <w:color w:val="auto"/>
              </w:rPr>
              <w:t>$4,533</w:t>
            </w:r>
          </w:p>
        </w:tc>
        <w:tc>
          <w:tcPr>
            <w:tcW w:w="2000" w:type="dxa"/>
            <w:vAlign w:val="bottom"/>
            <w:tcBorders>
              <w:bottom w:val="single" w:sz="8" w:color="384348"/>
            </w:tcBorders>
          </w:tcPr>
          <w:p>
            <w:pPr>
              <w:ind w:left="480"/>
              <w:spacing w:after="0"/>
              <w:rPr>
                <w:sz w:val="20"/>
                <w:szCs w:val="20"/>
                <w:color w:val="auto"/>
              </w:rPr>
            </w:pPr>
            <w:r>
              <w:rPr>
                <w:rFonts w:ascii="Arial" w:cs="Arial" w:eastAsia="Arial" w:hAnsi="Arial"/>
                <w:sz w:val="18"/>
                <w:szCs w:val="18"/>
                <w:color w:val="auto"/>
              </w:rPr>
              <w:t>2%</w:t>
            </w:r>
          </w:p>
        </w:tc>
      </w:tr>
      <w:tr>
        <w:trPr>
          <w:trHeight w:val="250"/>
        </w:trPr>
        <w:tc>
          <w:tcPr>
            <w:tcW w:w="486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Net income</w:t>
            </w:r>
          </w:p>
        </w:tc>
        <w:tc>
          <w:tcPr>
            <w:tcW w:w="3120" w:type="dxa"/>
            <w:vAlign w:val="bottom"/>
            <w:tcBorders>
              <w:bottom w:val="single" w:sz="8" w:color="384348"/>
            </w:tcBorders>
          </w:tcPr>
          <w:p>
            <w:pPr>
              <w:ind w:left="1600"/>
              <w:spacing w:after="0"/>
              <w:rPr>
                <w:sz w:val="20"/>
                <w:szCs w:val="20"/>
                <w:color w:val="auto"/>
              </w:rPr>
            </w:pPr>
            <w:r>
              <w:rPr>
                <w:rFonts w:ascii="Arial" w:cs="Arial" w:eastAsia="Arial" w:hAnsi="Arial"/>
                <w:sz w:val="18"/>
                <w:szCs w:val="18"/>
                <w:color w:val="auto"/>
              </w:rPr>
              <w:t>$737</w:t>
            </w:r>
          </w:p>
        </w:tc>
        <w:tc>
          <w:tcPr>
            <w:tcW w:w="1240" w:type="dxa"/>
            <w:vAlign w:val="bottom"/>
            <w:tcBorders>
              <w:bottom w:val="single" w:sz="8" w:color="384348"/>
            </w:tcBorders>
          </w:tcPr>
          <w:p>
            <w:pPr>
              <w:ind w:left="100"/>
              <w:spacing w:after="0"/>
              <w:rPr>
                <w:sz w:val="20"/>
                <w:szCs w:val="20"/>
                <w:color w:val="auto"/>
              </w:rPr>
            </w:pPr>
            <w:r>
              <w:rPr>
                <w:rFonts w:ascii="Arial" w:cs="Arial" w:eastAsia="Arial" w:hAnsi="Arial"/>
                <w:sz w:val="18"/>
                <w:szCs w:val="18"/>
                <w:color w:val="auto"/>
              </w:rPr>
              <w:t>$654</w:t>
            </w:r>
          </w:p>
        </w:tc>
        <w:tc>
          <w:tcPr>
            <w:tcW w:w="2000" w:type="dxa"/>
            <w:vAlign w:val="bottom"/>
            <w:tcBorders>
              <w:bottom w:val="single" w:sz="8" w:color="384348"/>
            </w:tcBorders>
          </w:tcPr>
          <w:p>
            <w:pPr>
              <w:ind w:left="480"/>
              <w:spacing w:after="0"/>
              <w:rPr>
                <w:sz w:val="20"/>
                <w:szCs w:val="20"/>
                <w:color w:val="auto"/>
              </w:rPr>
            </w:pPr>
            <w:r>
              <w:rPr>
                <w:rFonts w:ascii="Arial" w:cs="Arial" w:eastAsia="Arial" w:hAnsi="Arial"/>
                <w:sz w:val="18"/>
                <w:szCs w:val="18"/>
                <w:color w:val="auto"/>
              </w:rPr>
              <w:t>13%</w:t>
            </w:r>
          </w:p>
        </w:tc>
      </w:tr>
      <w:tr>
        <w:trPr>
          <w:trHeight w:val="256"/>
        </w:trPr>
        <w:tc>
          <w:tcPr>
            <w:tcW w:w="4860" w:type="dxa"/>
            <w:vAlign w:val="bottom"/>
            <w:tcBorders>
              <w:bottom w:val="single" w:sz="8" w:color="384348"/>
            </w:tcBorders>
          </w:tcPr>
          <w:p>
            <w:pPr>
              <w:ind w:left="20"/>
              <w:spacing w:after="0" w:line="256" w:lineRule="exact"/>
              <w:rPr>
                <w:sz w:val="20"/>
                <w:szCs w:val="20"/>
                <w:color w:val="auto"/>
              </w:rPr>
            </w:pPr>
            <w:r>
              <w:rPr>
                <w:rFonts w:ascii="Arial" w:cs="Arial" w:eastAsia="Arial" w:hAnsi="Arial"/>
                <w:sz w:val="18"/>
                <w:szCs w:val="18"/>
                <w:color w:val="auto"/>
              </w:rPr>
              <w:t>Adjusted EBIT</w:t>
            </w:r>
            <w:r>
              <w:rPr>
                <w:rFonts w:ascii="Arial" w:cs="Arial" w:eastAsia="Arial" w:hAnsi="Arial"/>
                <w:sz w:val="23"/>
                <w:szCs w:val="23"/>
                <w:color w:val="auto"/>
                <w:vertAlign w:val="superscript"/>
              </w:rPr>
              <w:t>1</w:t>
            </w:r>
          </w:p>
        </w:tc>
        <w:tc>
          <w:tcPr>
            <w:tcW w:w="3120" w:type="dxa"/>
            <w:vAlign w:val="bottom"/>
            <w:tcBorders>
              <w:bottom w:val="single" w:sz="8" w:color="384348"/>
            </w:tcBorders>
          </w:tcPr>
          <w:p>
            <w:pPr>
              <w:ind w:left="1600"/>
              <w:spacing w:after="0"/>
              <w:rPr>
                <w:sz w:val="20"/>
                <w:szCs w:val="20"/>
                <w:color w:val="auto"/>
              </w:rPr>
            </w:pPr>
            <w:r>
              <w:rPr>
                <w:rFonts w:ascii="Arial" w:cs="Arial" w:eastAsia="Arial" w:hAnsi="Arial"/>
                <w:sz w:val="18"/>
                <w:szCs w:val="18"/>
                <w:color w:val="auto"/>
              </w:rPr>
              <w:t>$1,161</w:t>
            </w:r>
          </w:p>
        </w:tc>
        <w:tc>
          <w:tcPr>
            <w:tcW w:w="1240" w:type="dxa"/>
            <w:vAlign w:val="bottom"/>
            <w:tcBorders>
              <w:bottom w:val="single" w:sz="8" w:color="384348"/>
            </w:tcBorders>
          </w:tcPr>
          <w:p>
            <w:pPr>
              <w:ind w:left="100"/>
              <w:spacing w:after="0"/>
              <w:rPr>
                <w:sz w:val="20"/>
                <w:szCs w:val="20"/>
                <w:color w:val="auto"/>
              </w:rPr>
            </w:pPr>
            <w:r>
              <w:rPr>
                <w:rFonts w:ascii="Arial" w:cs="Arial" w:eastAsia="Arial" w:hAnsi="Arial"/>
                <w:sz w:val="18"/>
                <w:szCs w:val="18"/>
                <w:color w:val="auto"/>
              </w:rPr>
              <w:t>$1,151</w:t>
            </w:r>
          </w:p>
        </w:tc>
        <w:tc>
          <w:tcPr>
            <w:tcW w:w="2000" w:type="dxa"/>
            <w:vAlign w:val="bottom"/>
            <w:tcBorders>
              <w:bottom w:val="single" w:sz="8" w:color="384348"/>
            </w:tcBorders>
          </w:tcPr>
          <w:p>
            <w:pPr>
              <w:ind w:left="480"/>
              <w:spacing w:after="0"/>
              <w:rPr>
                <w:sz w:val="20"/>
                <w:szCs w:val="20"/>
                <w:color w:val="auto"/>
              </w:rPr>
            </w:pPr>
            <w:r>
              <w:rPr>
                <w:rFonts w:ascii="Arial" w:cs="Arial" w:eastAsia="Arial" w:hAnsi="Arial"/>
                <w:sz w:val="18"/>
                <w:szCs w:val="18"/>
                <w:color w:val="auto"/>
              </w:rPr>
              <w:t>1%</w:t>
            </w:r>
          </w:p>
        </w:tc>
      </w:tr>
      <w:tr>
        <w:trPr>
          <w:trHeight w:val="250"/>
        </w:trPr>
        <w:tc>
          <w:tcPr>
            <w:tcW w:w="4860" w:type="dxa"/>
            <w:vAlign w:val="bottom"/>
            <w:tcBorders>
              <w:bottom w:val="single" w:sz="8" w:color="384348"/>
            </w:tcBorders>
          </w:tcPr>
          <w:p>
            <w:pPr>
              <w:ind w:left="20"/>
              <w:spacing w:after="0" w:line="250" w:lineRule="exact"/>
              <w:rPr>
                <w:sz w:val="20"/>
                <w:szCs w:val="20"/>
                <w:color w:val="auto"/>
              </w:rPr>
            </w:pPr>
            <w:r>
              <w:rPr>
                <w:rFonts w:ascii="Arial" w:cs="Arial" w:eastAsia="Arial" w:hAnsi="Arial"/>
                <w:sz w:val="18"/>
                <w:szCs w:val="18"/>
                <w:color w:val="auto"/>
              </w:rPr>
              <w:t>Earnings per share</w:t>
            </w:r>
            <w:r>
              <w:rPr>
                <w:rFonts w:ascii="Arial" w:cs="Arial" w:eastAsia="Arial" w:hAnsi="Arial"/>
                <w:sz w:val="23"/>
                <w:szCs w:val="23"/>
                <w:color w:val="auto"/>
                <w:vertAlign w:val="superscript"/>
              </w:rPr>
              <w:t>2,3</w:t>
            </w:r>
          </w:p>
        </w:tc>
        <w:tc>
          <w:tcPr>
            <w:tcW w:w="3120" w:type="dxa"/>
            <w:vAlign w:val="bottom"/>
            <w:tcBorders>
              <w:bottom w:val="single" w:sz="8" w:color="384348"/>
            </w:tcBorders>
          </w:tcPr>
          <w:p>
            <w:pPr>
              <w:ind w:left="1600"/>
              <w:spacing w:after="0"/>
              <w:rPr>
                <w:sz w:val="20"/>
                <w:szCs w:val="20"/>
                <w:color w:val="auto"/>
              </w:rPr>
            </w:pPr>
            <w:r>
              <w:rPr>
                <w:rFonts w:ascii="Arial" w:cs="Arial" w:eastAsia="Arial" w:hAnsi="Arial"/>
                <w:sz w:val="18"/>
                <w:szCs w:val="18"/>
                <w:color w:val="auto"/>
              </w:rPr>
              <w:t>$2.29</w:t>
            </w:r>
          </w:p>
        </w:tc>
        <w:tc>
          <w:tcPr>
            <w:tcW w:w="124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50"/>
        </w:trPr>
        <w:tc>
          <w:tcPr>
            <w:tcW w:w="4860" w:type="dxa"/>
            <w:vAlign w:val="bottom"/>
            <w:tcBorders>
              <w:bottom w:val="single" w:sz="8" w:color="384348"/>
            </w:tcBorders>
          </w:tcPr>
          <w:p>
            <w:pPr>
              <w:ind w:left="20"/>
              <w:spacing w:after="0" w:line="250" w:lineRule="exact"/>
              <w:rPr>
                <w:sz w:val="20"/>
                <w:szCs w:val="20"/>
                <w:color w:val="auto"/>
              </w:rPr>
            </w:pPr>
            <w:r>
              <w:rPr>
                <w:rFonts w:ascii="Arial" w:cs="Arial" w:eastAsia="Arial" w:hAnsi="Arial"/>
                <w:sz w:val="18"/>
                <w:szCs w:val="18"/>
                <w:color w:val="auto"/>
              </w:rPr>
              <w:t>Adjusted earnings per share</w:t>
            </w:r>
            <w:r>
              <w:rPr>
                <w:rFonts w:ascii="Arial" w:cs="Arial" w:eastAsia="Arial" w:hAnsi="Arial"/>
                <w:sz w:val="23"/>
                <w:szCs w:val="23"/>
                <w:color w:val="auto"/>
                <w:vertAlign w:val="superscript"/>
              </w:rPr>
              <w:t>1,2,3</w:t>
            </w:r>
          </w:p>
        </w:tc>
        <w:tc>
          <w:tcPr>
            <w:tcW w:w="3120" w:type="dxa"/>
            <w:vAlign w:val="bottom"/>
            <w:tcBorders>
              <w:bottom w:val="single" w:sz="8" w:color="384348"/>
            </w:tcBorders>
          </w:tcPr>
          <w:p>
            <w:pPr>
              <w:ind w:left="1600"/>
              <w:spacing w:after="0"/>
              <w:rPr>
                <w:sz w:val="20"/>
                <w:szCs w:val="20"/>
                <w:color w:val="auto"/>
              </w:rPr>
            </w:pPr>
            <w:r>
              <w:rPr>
                <w:rFonts w:ascii="Arial" w:cs="Arial" w:eastAsia="Arial" w:hAnsi="Arial"/>
                <w:sz w:val="18"/>
                <w:szCs w:val="18"/>
                <w:color w:val="auto"/>
              </w:rPr>
              <w:t>$2.21</w:t>
            </w:r>
          </w:p>
        </w:tc>
        <w:tc>
          <w:tcPr>
            <w:tcW w:w="124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50"/>
        </w:trPr>
        <w:tc>
          <w:tcPr>
            <w:tcW w:w="4860" w:type="dxa"/>
            <w:vAlign w:val="bottom"/>
            <w:tcBorders>
              <w:bottom w:val="single" w:sz="8" w:color="384348"/>
            </w:tcBorders>
          </w:tcPr>
          <w:p>
            <w:pPr>
              <w:ind w:left="20"/>
              <w:spacing w:after="0" w:line="250" w:lineRule="exact"/>
              <w:rPr>
                <w:sz w:val="20"/>
                <w:szCs w:val="20"/>
                <w:color w:val="auto"/>
              </w:rPr>
            </w:pPr>
            <w:r>
              <w:rPr>
                <w:rFonts w:ascii="Arial" w:cs="Arial" w:eastAsia="Arial" w:hAnsi="Arial"/>
                <w:sz w:val="18"/>
                <w:szCs w:val="18"/>
                <w:color w:val="auto"/>
              </w:rPr>
              <w:t>Cash flow from operations</w:t>
            </w:r>
            <w:r>
              <w:rPr>
                <w:rFonts w:ascii="Arial" w:cs="Arial" w:eastAsia="Arial" w:hAnsi="Arial"/>
                <w:sz w:val="23"/>
                <w:szCs w:val="23"/>
                <w:color w:val="auto"/>
                <w:vertAlign w:val="superscript"/>
              </w:rPr>
              <w:t>2</w:t>
            </w:r>
          </w:p>
        </w:tc>
        <w:tc>
          <w:tcPr>
            <w:tcW w:w="3120" w:type="dxa"/>
            <w:vAlign w:val="bottom"/>
            <w:tcBorders>
              <w:bottom w:val="single" w:sz="8" w:color="384348"/>
            </w:tcBorders>
          </w:tcPr>
          <w:p>
            <w:pPr>
              <w:ind w:left="1600"/>
              <w:spacing w:after="0"/>
              <w:rPr>
                <w:sz w:val="20"/>
                <w:szCs w:val="20"/>
                <w:color w:val="auto"/>
              </w:rPr>
            </w:pPr>
            <w:r>
              <w:rPr>
                <w:rFonts w:ascii="Arial" w:cs="Arial" w:eastAsia="Arial" w:hAnsi="Arial"/>
                <w:sz w:val="18"/>
                <w:szCs w:val="18"/>
                <w:color w:val="auto"/>
              </w:rPr>
              <w:t>$668</w:t>
            </w:r>
          </w:p>
        </w:tc>
        <w:tc>
          <w:tcPr>
            <w:tcW w:w="124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50"/>
        </w:trPr>
        <w:tc>
          <w:tcPr>
            <w:tcW w:w="4860" w:type="dxa"/>
            <w:vAlign w:val="bottom"/>
            <w:tcBorders>
              <w:bottom w:val="single" w:sz="8" w:color="384348"/>
            </w:tcBorders>
          </w:tcPr>
          <w:p>
            <w:pPr>
              <w:ind w:left="20"/>
              <w:spacing w:after="0" w:line="250" w:lineRule="exact"/>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1,2</w:t>
            </w:r>
          </w:p>
        </w:tc>
        <w:tc>
          <w:tcPr>
            <w:tcW w:w="3120" w:type="dxa"/>
            <w:vAlign w:val="bottom"/>
            <w:tcBorders>
              <w:bottom w:val="single" w:sz="8" w:color="384348"/>
            </w:tcBorders>
          </w:tcPr>
          <w:p>
            <w:pPr>
              <w:ind w:left="1600"/>
              <w:spacing w:after="0"/>
              <w:rPr>
                <w:sz w:val="20"/>
                <w:szCs w:val="20"/>
                <w:color w:val="auto"/>
              </w:rPr>
            </w:pPr>
            <w:r>
              <w:rPr>
                <w:rFonts w:ascii="Arial" w:cs="Arial" w:eastAsia="Arial" w:hAnsi="Arial"/>
                <w:sz w:val="18"/>
                <w:szCs w:val="18"/>
                <w:color w:val="auto"/>
              </w:rPr>
              <w:t>$500</w:t>
            </w:r>
          </w:p>
        </w:tc>
        <w:tc>
          <w:tcPr>
            <w:tcW w:w="1240" w:type="dxa"/>
            <w:vAlign w:val="bottom"/>
          </w:tcPr>
          <w:p>
            <w:pPr>
              <w:spacing w:after="0"/>
              <w:rPr>
                <w:sz w:val="21"/>
                <w:szCs w:val="21"/>
                <w:color w:val="auto"/>
              </w:rPr>
            </w:pPr>
          </w:p>
        </w:tc>
        <w:tc>
          <w:tcPr>
            <w:tcW w:w="2000" w:type="dxa"/>
            <w:vAlign w:val="bottom"/>
          </w:tcPr>
          <w:p>
            <w:pPr>
              <w:spacing w:after="0"/>
              <w:rPr>
                <w:sz w:val="21"/>
                <w:szCs w:val="2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 market sales</w:t>
      </w:r>
    </w:p>
    <w:p>
      <w:pPr>
        <w:spacing w:after="0" w:line="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Commercial Original Equipment sales were up 7% on a reported basis and 8% organically</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to $0.7 billion as commercial air transport build rates and selectable equipment volumes increased. Commercial Aftermarket sales of $2.1 billion grew 2% year over year, driven by healthy underlying demand limited by mechanical component availability. Defense and Space sales of $1.8 billion expanded 1%, as strong growth led by the CAES and Civitanavi acquisitions was partially offset by lower international volumes due to supply constraints and the wind-down of a non-aerospace restricted government program.</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3600" w:type="dxa"/>
            <w:vAlign w:val="bottom"/>
          </w:tcPr>
          <w:p>
            <w:pPr>
              <w:ind w:left="20"/>
              <w:spacing w:after="0"/>
              <w:rPr>
                <w:sz w:val="20"/>
                <w:szCs w:val="20"/>
                <w:color w:val="auto"/>
              </w:rPr>
            </w:pPr>
            <w:r>
              <w:rPr>
                <w:rFonts w:ascii="Arial" w:cs="Arial" w:eastAsia="Arial" w:hAnsi="Arial"/>
                <w:sz w:val="18"/>
                <w:szCs w:val="18"/>
                <w:i w:val="1"/>
                <w:iCs w:val="1"/>
                <w:color w:val="auto"/>
              </w:rPr>
              <w:t>($ in millions)</w:t>
            </w:r>
          </w:p>
        </w:tc>
        <w:tc>
          <w:tcPr>
            <w:tcW w:w="2700" w:type="dxa"/>
            <w:vAlign w:val="bottom"/>
            <w:gridSpan w:val="2"/>
          </w:tcPr>
          <w:p>
            <w:pPr>
              <w:ind w:left="1060"/>
              <w:spacing w:after="0"/>
              <w:rPr>
                <w:sz w:val="20"/>
                <w:szCs w:val="20"/>
                <w:color w:val="auto"/>
              </w:rPr>
            </w:pPr>
            <w:r>
              <w:rPr>
                <w:rFonts w:ascii="Arial" w:cs="Arial" w:eastAsia="Arial" w:hAnsi="Arial"/>
                <w:sz w:val="14"/>
                <w:szCs w:val="14"/>
                <w:b w:val="1"/>
                <w:bCs w:val="1"/>
                <w:color w:val="auto"/>
              </w:rPr>
              <w:t>3Q 2026</w:t>
            </w:r>
          </w:p>
        </w:tc>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3Q 2025</w:t>
            </w:r>
          </w:p>
        </w:tc>
        <w:tc>
          <w:tcPr>
            <w:tcW w:w="1740" w:type="dxa"/>
            <w:vAlign w:val="bottom"/>
          </w:tcPr>
          <w:p>
            <w:pPr>
              <w:ind w:left="560"/>
              <w:spacing w:after="0"/>
              <w:rPr>
                <w:sz w:val="20"/>
                <w:szCs w:val="20"/>
                <w:color w:val="auto"/>
              </w:rPr>
            </w:pPr>
            <w:r>
              <w:rPr>
                <w:rFonts w:ascii="Arial" w:cs="Arial" w:eastAsia="Arial" w:hAnsi="Arial"/>
                <w:sz w:val="14"/>
                <w:szCs w:val="14"/>
                <w:b w:val="1"/>
                <w:bCs w:val="1"/>
                <w:color w:val="auto"/>
              </w:rPr>
              <w:t>% Change</w:t>
            </w:r>
          </w:p>
        </w:tc>
        <w:tc>
          <w:tcPr>
            <w:tcW w:w="2020" w:type="dxa"/>
            <w:vAlign w:val="bottom"/>
          </w:tcPr>
          <w:p>
            <w:pPr>
              <w:ind w:left="480"/>
              <w:spacing w:after="0"/>
              <w:rPr>
                <w:sz w:val="20"/>
                <w:szCs w:val="20"/>
                <w:color w:val="auto"/>
              </w:rPr>
            </w:pPr>
            <w:r>
              <w:rPr>
                <w:rFonts w:ascii="Arial" w:cs="Arial" w:eastAsia="Arial" w:hAnsi="Arial"/>
                <w:sz w:val="14"/>
                <w:szCs w:val="14"/>
                <w:b w:val="1"/>
                <w:bCs w:val="1"/>
                <w:color w:val="auto"/>
              </w:rPr>
              <w:t>% Organic</w:t>
            </w:r>
            <w:r>
              <w:rPr>
                <w:rFonts w:ascii="Arial" w:cs="Arial" w:eastAsia="Arial" w:hAnsi="Arial"/>
                <w:sz w:val="18"/>
                <w:szCs w:val="18"/>
                <w:b w:val="1"/>
                <w:bCs w:val="1"/>
                <w:color w:val="auto"/>
                <w:vertAlign w:val="superscript"/>
              </w:rPr>
              <w:t>1</w:t>
            </w:r>
          </w:p>
        </w:tc>
      </w:tr>
      <w:tr>
        <w:trPr>
          <w:trHeight w:val="244"/>
        </w:trPr>
        <w:tc>
          <w:tcPr>
            <w:tcW w:w="3600" w:type="dxa"/>
            <w:vAlign w:val="bottom"/>
            <w:tcBorders>
              <w:top w:val="single" w:sz="8" w:color="FF4400"/>
              <w:bottom w:val="single" w:sz="8" w:color="384348"/>
            </w:tcBorders>
          </w:tcPr>
          <w:p>
            <w:pPr>
              <w:ind w:left="20"/>
              <w:spacing w:after="0"/>
              <w:rPr>
                <w:sz w:val="20"/>
                <w:szCs w:val="20"/>
                <w:color w:val="auto"/>
              </w:rPr>
            </w:pPr>
            <w:r>
              <w:rPr>
                <w:rFonts w:ascii="Arial" w:cs="Arial" w:eastAsia="Arial" w:hAnsi="Arial"/>
                <w:sz w:val="18"/>
                <w:szCs w:val="18"/>
                <w:color w:val="auto"/>
              </w:rPr>
              <w:t>Commercial Original Equipment</w:t>
            </w:r>
          </w:p>
        </w:tc>
        <w:tc>
          <w:tcPr>
            <w:tcW w:w="2600" w:type="dxa"/>
            <w:vAlign w:val="bottom"/>
            <w:tcBorders>
              <w:top w:val="single" w:sz="8" w:color="FF4400"/>
              <w:bottom w:val="single" w:sz="8" w:color="384348"/>
            </w:tcBorders>
          </w:tcPr>
          <w:p>
            <w:pPr>
              <w:ind w:left="1060"/>
              <w:spacing w:after="0"/>
              <w:rPr>
                <w:sz w:val="20"/>
                <w:szCs w:val="20"/>
                <w:color w:val="auto"/>
              </w:rPr>
            </w:pPr>
            <w:r>
              <w:rPr>
                <w:rFonts w:ascii="Arial" w:cs="Arial" w:eastAsia="Arial" w:hAnsi="Arial"/>
                <w:sz w:val="18"/>
                <w:szCs w:val="18"/>
                <w:color w:val="auto"/>
              </w:rPr>
              <w:t>$690</w:t>
            </w:r>
          </w:p>
        </w:tc>
        <w:tc>
          <w:tcPr>
            <w:tcW w:w="100" w:type="dxa"/>
            <w:vAlign w:val="bottom"/>
            <w:tcBorders>
              <w:top w:val="single" w:sz="8" w:color="FF5200"/>
              <w:bottom w:val="single" w:sz="8" w:color="384348"/>
            </w:tcBorders>
          </w:tcPr>
          <w:p>
            <w:pPr>
              <w:spacing w:after="0"/>
              <w:rPr>
                <w:sz w:val="21"/>
                <w:szCs w:val="21"/>
                <w:color w:val="auto"/>
              </w:rPr>
            </w:pPr>
          </w:p>
        </w:tc>
        <w:tc>
          <w:tcPr>
            <w:tcW w:w="1140" w:type="dxa"/>
            <w:vAlign w:val="bottom"/>
            <w:tcBorders>
              <w:top w:val="single" w:sz="8" w:color="FF4400"/>
              <w:bottom w:val="single" w:sz="8" w:color="384348"/>
            </w:tcBorders>
          </w:tcPr>
          <w:p>
            <w:pPr>
              <w:ind w:left="20"/>
              <w:spacing w:after="0"/>
              <w:rPr>
                <w:sz w:val="20"/>
                <w:szCs w:val="20"/>
                <w:color w:val="auto"/>
              </w:rPr>
            </w:pPr>
            <w:r>
              <w:rPr>
                <w:rFonts w:ascii="Arial" w:cs="Arial" w:eastAsia="Arial" w:hAnsi="Arial"/>
                <w:sz w:val="18"/>
                <w:szCs w:val="18"/>
                <w:color w:val="auto"/>
              </w:rPr>
              <w:t>$642</w:t>
            </w:r>
          </w:p>
        </w:tc>
        <w:tc>
          <w:tcPr>
            <w:tcW w:w="1740" w:type="dxa"/>
            <w:vAlign w:val="bottom"/>
            <w:tcBorders>
              <w:top w:val="single" w:sz="8" w:color="FF4400"/>
              <w:bottom w:val="single" w:sz="8" w:color="384348"/>
            </w:tcBorders>
          </w:tcPr>
          <w:p>
            <w:pPr>
              <w:ind w:left="560"/>
              <w:spacing w:after="0"/>
              <w:rPr>
                <w:sz w:val="20"/>
                <w:szCs w:val="20"/>
                <w:color w:val="auto"/>
              </w:rPr>
            </w:pPr>
            <w:r>
              <w:rPr>
                <w:rFonts w:ascii="Arial" w:cs="Arial" w:eastAsia="Arial" w:hAnsi="Arial"/>
                <w:sz w:val="18"/>
                <w:szCs w:val="18"/>
                <w:color w:val="auto"/>
              </w:rPr>
              <w:t>7%</w:t>
            </w:r>
          </w:p>
        </w:tc>
        <w:tc>
          <w:tcPr>
            <w:tcW w:w="2020" w:type="dxa"/>
            <w:vAlign w:val="bottom"/>
            <w:tcBorders>
              <w:top w:val="single" w:sz="8" w:color="FF4400"/>
              <w:bottom w:val="single" w:sz="8" w:color="384348"/>
            </w:tcBorders>
          </w:tcPr>
          <w:p>
            <w:pPr>
              <w:ind w:left="480"/>
              <w:spacing w:after="0"/>
              <w:rPr>
                <w:sz w:val="20"/>
                <w:szCs w:val="20"/>
                <w:color w:val="auto"/>
              </w:rPr>
            </w:pPr>
            <w:r>
              <w:rPr>
                <w:rFonts w:ascii="Arial" w:cs="Arial" w:eastAsia="Arial" w:hAnsi="Arial"/>
                <w:sz w:val="18"/>
                <w:szCs w:val="18"/>
                <w:color w:val="auto"/>
              </w:rPr>
              <w:t>8%</w:t>
            </w:r>
          </w:p>
        </w:tc>
      </w:tr>
      <w:tr>
        <w:trPr>
          <w:trHeight w:val="250"/>
        </w:trPr>
        <w:tc>
          <w:tcPr>
            <w:tcW w:w="360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Commercial Aftermarket</w:t>
            </w:r>
          </w:p>
        </w:tc>
        <w:tc>
          <w:tcPr>
            <w:tcW w:w="2600" w:type="dxa"/>
            <w:vAlign w:val="bottom"/>
            <w:tcBorders>
              <w:bottom w:val="single" w:sz="8" w:color="384348"/>
            </w:tcBorders>
          </w:tcPr>
          <w:p>
            <w:pPr>
              <w:ind w:left="1060"/>
              <w:spacing w:after="0"/>
              <w:rPr>
                <w:sz w:val="20"/>
                <w:szCs w:val="20"/>
                <w:color w:val="auto"/>
              </w:rPr>
            </w:pPr>
            <w:r>
              <w:rPr>
                <w:rFonts w:ascii="Arial" w:cs="Arial" w:eastAsia="Arial" w:hAnsi="Arial"/>
                <w:sz w:val="18"/>
                <w:szCs w:val="18"/>
                <w:color w:val="auto"/>
              </w:rPr>
              <w:t>$2,126</w:t>
            </w:r>
          </w:p>
        </w:tc>
        <w:tc>
          <w:tcPr>
            <w:tcW w:w="100" w:type="dxa"/>
            <w:vAlign w:val="bottom"/>
            <w:tcBorders>
              <w:bottom w:val="single" w:sz="8" w:color="384348"/>
            </w:tcBorders>
          </w:tcPr>
          <w:p>
            <w:pPr>
              <w:spacing w:after="0"/>
              <w:rPr>
                <w:sz w:val="21"/>
                <w:szCs w:val="21"/>
                <w:color w:val="auto"/>
              </w:rPr>
            </w:pPr>
          </w:p>
        </w:tc>
        <w:tc>
          <w:tcPr>
            <w:tcW w:w="114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$2,084</w:t>
            </w:r>
          </w:p>
        </w:tc>
        <w:tc>
          <w:tcPr>
            <w:tcW w:w="1740" w:type="dxa"/>
            <w:vAlign w:val="bottom"/>
            <w:tcBorders>
              <w:bottom w:val="single" w:sz="8" w:color="384348"/>
            </w:tcBorders>
          </w:tcPr>
          <w:p>
            <w:pPr>
              <w:ind w:left="560"/>
              <w:spacing w:after="0"/>
              <w:rPr>
                <w:sz w:val="20"/>
                <w:szCs w:val="20"/>
                <w:color w:val="auto"/>
              </w:rPr>
            </w:pPr>
            <w:r>
              <w:rPr>
                <w:rFonts w:ascii="Arial" w:cs="Arial" w:eastAsia="Arial" w:hAnsi="Arial"/>
                <w:sz w:val="18"/>
                <w:szCs w:val="18"/>
                <w:color w:val="auto"/>
              </w:rPr>
              <w:t>2%</w:t>
            </w:r>
          </w:p>
        </w:tc>
        <w:tc>
          <w:tcPr>
            <w:tcW w:w="2020" w:type="dxa"/>
            <w:vAlign w:val="bottom"/>
            <w:tcBorders>
              <w:bottom w:val="single" w:sz="8" w:color="384348"/>
            </w:tcBorders>
          </w:tcPr>
          <w:p>
            <w:pPr>
              <w:ind w:left="480"/>
              <w:spacing w:after="0"/>
              <w:rPr>
                <w:sz w:val="20"/>
                <w:szCs w:val="20"/>
                <w:color w:val="auto"/>
              </w:rPr>
            </w:pPr>
            <w:r>
              <w:rPr>
                <w:rFonts w:ascii="Arial" w:cs="Arial" w:eastAsia="Arial" w:hAnsi="Arial"/>
                <w:sz w:val="18"/>
                <w:szCs w:val="18"/>
                <w:color w:val="auto"/>
              </w:rPr>
              <w:t>2%</w:t>
            </w:r>
          </w:p>
        </w:tc>
      </w:tr>
      <w:tr>
        <w:trPr>
          <w:trHeight w:val="250"/>
        </w:trPr>
        <w:tc>
          <w:tcPr>
            <w:tcW w:w="360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Defense and Space</w:t>
            </w:r>
          </w:p>
        </w:tc>
        <w:tc>
          <w:tcPr>
            <w:tcW w:w="2600" w:type="dxa"/>
            <w:vAlign w:val="bottom"/>
            <w:tcBorders>
              <w:bottom w:val="single" w:sz="8" w:color="384348"/>
            </w:tcBorders>
          </w:tcPr>
          <w:p>
            <w:pPr>
              <w:ind w:left="1060"/>
              <w:spacing w:after="0"/>
              <w:rPr>
                <w:sz w:val="20"/>
                <w:szCs w:val="20"/>
                <w:color w:val="auto"/>
              </w:rPr>
            </w:pPr>
            <w:r>
              <w:rPr>
                <w:rFonts w:ascii="Arial" w:cs="Arial" w:eastAsia="Arial" w:hAnsi="Arial"/>
                <w:sz w:val="18"/>
                <w:szCs w:val="18"/>
                <w:color w:val="auto"/>
              </w:rPr>
              <w:t>$1,828</w:t>
            </w:r>
          </w:p>
        </w:tc>
        <w:tc>
          <w:tcPr>
            <w:tcW w:w="100" w:type="dxa"/>
            <w:vAlign w:val="bottom"/>
            <w:tcBorders>
              <w:bottom w:val="single" w:sz="8" w:color="384348"/>
            </w:tcBorders>
          </w:tcPr>
          <w:p>
            <w:pPr>
              <w:spacing w:after="0"/>
              <w:rPr>
                <w:sz w:val="21"/>
                <w:szCs w:val="21"/>
                <w:color w:val="auto"/>
              </w:rPr>
            </w:pPr>
          </w:p>
        </w:tc>
        <w:tc>
          <w:tcPr>
            <w:tcW w:w="114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$1,807</w:t>
            </w:r>
          </w:p>
        </w:tc>
        <w:tc>
          <w:tcPr>
            <w:tcW w:w="1740" w:type="dxa"/>
            <w:vAlign w:val="bottom"/>
            <w:tcBorders>
              <w:bottom w:val="single" w:sz="8" w:color="384348"/>
            </w:tcBorders>
          </w:tcPr>
          <w:p>
            <w:pPr>
              <w:ind w:left="560"/>
              <w:spacing w:after="0"/>
              <w:rPr>
                <w:sz w:val="20"/>
                <w:szCs w:val="20"/>
                <w:color w:val="auto"/>
              </w:rPr>
            </w:pPr>
            <w:r>
              <w:rPr>
                <w:rFonts w:ascii="Arial" w:cs="Arial" w:eastAsia="Arial" w:hAnsi="Arial"/>
                <w:sz w:val="18"/>
                <w:szCs w:val="18"/>
                <w:color w:val="auto"/>
              </w:rPr>
              <w:t>1%</w:t>
            </w:r>
          </w:p>
        </w:tc>
        <w:tc>
          <w:tcPr>
            <w:tcW w:w="2020" w:type="dxa"/>
            <w:vAlign w:val="bottom"/>
            <w:tcBorders>
              <w:bottom w:val="single" w:sz="8" w:color="384348"/>
            </w:tcBorders>
          </w:tcPr>
          <w:p>
            <w:pPr>
              <w:ind w:left="480"/>
              <w:spacing w:after="0"/>
              <w:rPr>
                <w:sz w:val="20"/>
                <w:szCs w:val="20"/>
                <w:color w:val="auto"/>
              </w:rPr>
            </w:pPr>
            <w:r>
              <w:rPr>
                <w:rFonts w:ascii="Arial" w:cs="Arial" w:eastAsia="Arial" w:hAnsi="Arial"/>
                <w:sz w:val="18"/>
                <w:szCs w:val="18"/>
                <w:color w:val="auto"/>
              </w:rPr>
              <w:t>1%</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outlook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Based on third quarter results and current outlook, Honeywell Aerospace updated its prior full-year and second half guidance ranges.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340" w:type="dxa"/>
            <w:vAlign w:val="bottom"/>
            <w:tcBorders>
              <w:bottom w:val="single" w:sz="8" w:color="FF4400"/>
            </w:tcBorders>
          </w:tcPr>
          <w:p>
            <w:pPr>
              <w:spacing w:after="0"/>
              <w:rPr>
                <w:sz w:val="17"/>
                <w:szCs w:val="17"/>
                <w:color w:val="auto"/>
              </w:rPr>
            </w:pPr>
          </w:p>
        </w:tc>
        <w:tc>
          <w:tcPr>
            <w:tcW w:w="2960" w:type="dxa"/>
            <w:vAlign w:val="bottom"/>
            <w:tcBorders>
              <w:bottom w:val="single" w:sz="8" w:color="FF4400"/>
            </w:tcBorders>
          </w:tcPr>
          <w:p>
            <w:pPr>
              <w:ind w:left="1060"/>
              <w:spacing w:after="0"/>
              <w:rPr>
                <w:sz w:val="20"/>
                <w:szCs w:val="20"/>
                <w:color w:val="auto"/>
              </w:rPr>
            </w:pPr>
            <w:r>
              <w:rPr>
                <w:rFonts w:ascii="Arial" w:cs="Arial" w:eastAsia="Arial" w:hAnsi="Arial"/>
                <w:sz w:val="14"/>
                <w:szCs w:val="14"/>
                <w:b w:val="1"/>
                <w:bCs w:val="1"/>
                <w:color w:val="auto"/>
              </w:rPr>
              <w:t>Previous guidance</w:t>
            </w:r>
          </w:p>
        </w:tc>
        <w:tc>
          <w:tcPr>
            <w:tcW w:w="2920" w:type="dxa"/>
            <w:vAlign w:val="bottom"/>
            <w:tcBorders>
              <w:bottom w:val="single" w:sz="8" w:color="FF4400"/>
            </w:tcBorders>
          </w:tcPr>
          <w:p>
            <w:pPr>
              <w:ind w:left="600"/>
              <w:spacing w:after="0"/>
              <w:rPr>
                <w:sz w:val="20"/>
                <w:szCs w:val="20"/>
                <w:color w:val="auto"/>
              </w:rPr>
            </w:pPr>
            <w:r>
              <w:rPr>
                <w:rFonts w:ascii="Arial" w:cs="Arial" w:eastAsia="Arial" w:hAnsi="Arial"/>
                <w:sz w:val="14"/>
                <w:szCs w:val="14"/>
                <w:b w:val="1"/>
                <w:bCs w:val="1"/>
                <w:color w:val="auto"/>
              </w:rPr>
              <w:t>Current guidance</w:t>
            </w:r>
          </w:p>
        </w:tc>
      </w:tr>
      <w:tr>
        <w:trPr>
          <w:trHeight w:val="257"/>
        </w:trPr>
        <w:tc>
          <w:tcPr>
            <w:tcW w:w="5340" w:type="dxa"/>
            <w:vAlign w:val="bottom"/>
            <w:tcBorders>
              <w:bottom w:val="single" w:sz="8" w:color="384348"/>
            </w:tcBorders>
          </w:tcPr>
          <w:p>
            <w:pPr>
              <w:ind w:left="20"/>
              <w:spacing w:after="0" w:line="256" w:lineRule="exact"/>
              <w:rPr>
                <w:sz w:val="20"/>
                <w:szCs w:val="20"/>
                <w:color w:val="auto"/>
              </w:rPr>
            </w:pPr>
            <w:r>
              <w:rPr>
                <w:rFonts w:ascii="Arial" w:cs="Arial" w:eastAsia="Arial" w:hAnsi="Arial"/>
                <w:sz w:val="18"/>
                <w:szCs w:val="18"/>
                <w:color w:val="auto"/>
              </w:rPr>
              <w:t>Organic</w:t>
            </w:r>
            <w:r>
              <w:rPr>
                <w:rFonts w:ascii="Arial" w:cs="Arial" w:eastAsia="Arial" w:hAnsi="Arial"/>
                <w:sz w:val="23"/>
                <w:szCs w:val="23"/>
                <w:color w:val="auto"/>
                <w:vertAlign w:val="superscript"/>
              </w:rPr>
              <w:t>1,4</w:t>
            </w:r>
            <w:r>
              <w:rPr>
                <w:rFonts w:ascii="Arial" w:cs="Arial" w:eastAsia="Arial" w:hAnsi="Arial"/>
                <w:sz w:val="18"/>
                <w:szCs w:val="18"/>
                <w:color w:val="auto"/>
              </w:rPr>
              <w:t xml:space="preserve"> growth</w:t>
            </w:r>
          </w:p>
        </w:tc>
        <w:tc>
          <w:tcPr>
            <w:tcW w:w="2960" w:type="dxa"/>
            <w:vAlign w:val="bottom"/>
            <w:tcBorders>
              <w:bottom w:val="single" w:sz="8" w:color="384348"/>
            </w:tcBorders>
          </w:tcPr>
          <w:p>
            <w:pPr>
              <w:ind w:left="1060"/>
              <w:spacing w:after="0"/>
              <w:rPr>
                <w:sz w:val="20"/>
                <w:szCs w:val="20"/>
                <w:color w:val="auto"/>
              </w:rPr>
            </w:pPr>
            <w:r>
              <w:rPr>
                <w:rFonts w:ascii="Arial" w:cs="Arial" w:eastAsia="Arial" w:hAnsi="Arial"/>
                <w:sz w:val="18"/>
                <w:szCs w:val="18"/>
                <w:color w:val="auto"/>
              </w:rPr>
              <w:t>4% - 5%</w:t>
            </w:r>
          </w:p>
        </w:tc>
        <w:tc>
          <w:tcPr>
            <w:tcW w:w="2920" w:type="dxa"/>
            <w:vAlign w:val="bottom"/>
            <w:tcBorders>
              <w:bottom w:val="single" w:sz="8" w:color="384348"/>
            </w:tcBorders>
          </w:tcPr>
          <w:p>
            <w:pPr>
              <w:ind w:left="600"/>
              <w:spacing w:after="0"/>
              <w:rPr>
                <w:sz w:val="20"/>
                <w:szCs w:val="20"/>
                <w:color w:val="auto"/>
              </w:rPr>
            </w:pPr>
            <w:r>
              <w:rPr>
                <w:rFonts w:ascii="Arial" w:cs="Arial" w:eastAsia="Arial" w:hAnsi="Arial"/>
                <w:sz w:val="18"/>
                <w:szCs w:val="18"/>
                <w:color w:val="auto"/>
              </w:rPr>
              <w:t>4% - 5%</w:t>
            </w:r>
          </w:p>
        </w:tc>
      </w:tr>
      <w:tr>
        <w:trPr>
          <w:trHeight w:val="250"/>
        </w:trPr>
        <w:tc>
          <w:tcPr>
            <w:tcW w:w="5340" w:type="dxa"/>
            <w:vAlign w:val="bottom"/>
            <w:tcBorders>
              <w:bottom w:val="single" w:sz="8" w:color="384348"/>
            </w:tcBorders>
          </w:tcPr>
          <w:p>
            <w:pPr>
              <w:ind w:left="20"/>
              <w:spacing w:after="0" w:line="250" w:lineRule="exact"/>
              <w:rPr>
                <w:sz w:val="20"/>
                <w:szCs w:val="20"/>
                <w:color w:val="auto"/>
              </w:rPr>
            </w:pPr>
            <w:r>
              <w:rPr>
                <w:rFonts w:ascii="Arial" w:cs="Arial" w:eastAsia="Arial" w:hAnsi="Arial"/>
                <w:sz w:val="18"/>
                <w:szCs w:val="18"/>
                <w:color w:val="auto"/>
              </w:rPr>
              <w:t>Pro forma standalone adjusted EBIT</w:t>
            </w:r>
            <w:r>
              <w:rPr>
                <w:rFonts w:ascii="Arial" w:cs="Arial" w:eastAsia="Arial" w:hAnsi="Arial"/>
                <w:sz w:val="23"/>
                <w:szCs w:val="23"/>
                <w:color w:val="auto"/>
                <w:vertAlign w:val="superscript"/>
              </w:rPr>
              <w:t>1,4</w:t>
            </w:r>
          </w:p>
        </w:tc>
        <w:tc>
          <w:tcPr>
            <w:tcW w:w="2960" w:type="dxa"/>
            <w:vAlign w:val="bottom"/>
            <w:tcBorders>
              <w:bottom w:val="single" w:sz="8" w:color="384348"/>
            </w:tcBorders>
          </w:tcPr>
          <w:p>
            <w:pPr>
              <w:ind w:left="1060"/>
              <w:spacing w:after="0"/>
              <w:rPr>
                <w:sz w:val="20"/>
                <w:szCs w:val="20"/>
                <w:color w:val="auto"/>
              </w:rPr>
            </w:pPr>
            <w:r>
              <w:rPr>
                <w:rFonts w:ascii="Arial" w:cs="Arial" w:eastAsia="Arial" w:hAnsi="Arial"/>
                <w:sz w:val="18"/>
                <w:szCs w:val="18"/>
                <w:color w:val="auto"/>
              </w:rPr>
              <w:t>$4.35B - $4.45B</w:t>
            </w:r>
          </w:p>
        </w:tc>
        <w:tc>
          <w:tcPr>
            <w:tcW w:w="2920" w:type="dxa"/>
            <w:vAlign w:val="bottom"/>
            <w:tcBorders>
              <w:bottom w:val="single" w:sz="8" w:color="384348"/>
            </w:tcBorders>
          </w:tcPr>
          <w:p>
            <w:pPr>
              <w:ind w:left="600"/>
              <w:spacing w:after="0"/>
              <w:rPr>
                <w:sz w:val="20"/>
                <w:szCs w:val="20"/>
                <w:color w:val="auto"/>
              </w:rPr>
            </w:pPr>
            <w:r>
              <w:rPr>
                <w:rFonts w:ascii="Arial" w:cs="Arial" w:eastAsia="Arial" w:hAnsi="Arial"/>
                <w:sz w:val="18"/>
                <w:szCs w:val="18"/>
                <w:color w:val="auto"/>
              </w:rPr>
              <w:t>$4.375B - $4.425B</w:t>
            </w:r>
          </w:p>
        </w:tc>
      </w:tr>
      <w:tr>
        <w:trPr>
          <w:trHeight w:val="250"/>
        </w:trPr>
        <w:tc>
          <w:tcPr>
            <w:tcW w:w="5340" w:type="dxa"/>
            <w:vAlign w:val="bottom"/>
            <w:tcBorders>
              <w:bottom w:val="single" w:sz="8" w:color="384348"/>
            </w:tcBorders>
          </w:tcPr>
          <w:p>
            <w:pPr>
              <w:ind w:left="240"/>
              <w:spacing w:after="0" w:line="250" w:lineRule="exact"/>
              <w:rPr>
                <w:sz w:val="20"/>
                <w:szCs w:val="20"/>
                <w:color w:val="auto"/>
              </w:rPr>
            </w:pPr>
            <w:r>
              <w:rPr>
                <w:rFonts w:ascii="Arial" w:cs="Arial" w:eastAsia="Arial" w:hAnsi="Arial"/>
                <w:sz w:val="18"/>
                <w:szCs w:val="18"/>
                <w:i w:val="1"/>
                <w:iCs w:val="1"/>
                <w:color w:val="auto"/>
              </w:rPr>
              <w:t>Year-over-year growth</w:t>
            </w:r>
            <w:r>
              <w:rPr>
                <w:rFonts w:ascii="Arial" w:cs="Arial" w:eastAsia="Arial" w:hAnsi="Arial"/>
                <w:sz w:val="23"/>
                <w:szCs w:val="23"/>
                <w:i w:val="1"/>
                <w:iCs w:val="1"/>
                <w:color w:val="auto"/>
                <w:vertAlign w:val="superscript"/>
              </w:rPr>
              <w:t>1,4</w:t>
            </w:r>
          </w:p>
        </w:tc>
        <w:tc>
          <w:tcPr>
            <w:tcW w:w="2960" w:type="dxa"/>
            <w:vAlign w:val="bottom"/>
            <w:tcBorders>
              <w:bottom w:val="single" w:sz="8" w:color="384348"/>
            </w:tcBorders>
          </w:tcPr>
          <w:p>
            <w:pPr>
              <w:ind w:left="1060"/>
              <w:spacing w:after="0"/>
              <w:rPr>
                <w:sz w:val="20"/>
                <w:szCs w:val="20"/>
                <w:color w:val="auto"/>
              </w:rPr>
            </w:pPr>
            <w:r>
              <w:rPr>
                <w:rFonts w:ascii="Arial" w:cs="Arial" w:eastAsia="Arial" w:hAnsi="Arial"/>
                <w:sz w:val="18"/>
                <w:szCs w:val="18"/>
                <w:i w:val="1"/>
                <w:iCs w:val="1"/>
                <w:color w:val="auto"/>
              </w:rPr>
              <w:t>Flat - 3%</w:t>
            </w:r>
          </w:p>
        </w:tc>
        <w:tc>
          <w:tcPr>
            <w:tcW w:w="2920" w:type="dxa"/>
            <w:vAlign w:val="bottom"/>
            <w:tcBorders>
              <w:bottom w:val="single" w:sz="8" w:color="384348"/>
            </w:tcBorders>
          </w:tcPr>
          <w:p>
            <w:pPr>
              <w:ind w:left="600"/>
              <w:spacing w:after="0"/>
              <w:rPr>
                <w:sz w:val="20"/>
                <w:szCs w:val="20"/>
                <w:color w:val="auto"/>
              </w:rPr>
            </w:pPr>
            <w:r>
              <w:rPr>
                <w:rFonts w:ascii="Arial" w:cs="Arial" w:eastAsia="Arial" w:hAnsi="Arial"/>
                <w:sz w:val="18"/>
                <w:szCs w:val="18"/>
                <w:i w:val="1"/>
                <w:iCs w:val="1"/>
                <w:color w:val="auto"/>
              </w:rPr>
              <w:t>Up 1% - 2%</w:t>
            </w:r>
          </w:p>
        </w:tc>
      </w:tr>
      <w:tr>
        <w:trPr>
          <w:trHeight w:val="250"/>
        </w:trPr>
        <w:tc>
          <w:tcPr>
            <w:tcW w:w="5340" w:type="dxa"/>
            <w:vAlign w:val="bottom"/>
            <w:tcBorders>
              <w:bottom w:val="single" w:sz="8" w:color="384348"/>
            </w:tcBorders>
          </w:tcPr>
          <w:p>
            <w:pPr>
              <w:ind w:left="20"/>
              <w:spacing w:after="0" w:line="250" w:lineRule="exact"/>
              <w:rPr>
                <w:sz w:val="20"/>
                <w:szCs w:val="20"/>
                <w:color w:val="auto"/>
              </w:rPr>
            </w:pPr>
            <w:r>
              <w:rPr>
                <w:rFonts w:ascii="Arial" w:cs="Arial" w:eastAsia="Arial" w:hAnsi="Arial"/>
                <w:sz w:val="18"/>
                <w:szCs w:val="18"/>
                <w:color w:val="auto"/>
              </w:rPr>
              <w:t>Pro forma standalone adjusted earnings per share</w:t>
            </w:r>
            <w:r>
              <w:rPr>
                <w:rFonts w:ascii="Arial" w:cs="Arial" w:eastAsia="Arial" w:hAnsi="Arial"/>
                <w:sz w:val="23"/>
                <w:szCs w:val="23"/>
                <w:color w:val="auto"/>
                <w:vertAlign w:val="superscript"/>
              </w:rPr>
              <w:t>1,3,4</w:t>
            </w:r>
          </w:p>
        </w:tc>
        <w:tc>
          <w:tcPr>
            <w:tcW w:w="2960" w:type="dxa"/>
            <w:vAlign w:val="bottom"/>
            <w:tcBorders>
              <w:bottom w:val="single" w:sz="8" w:color="384348"/>
            </w:tcBorders>
          </w:tcPr>
          <w:p>
            <w:pPr>
              <w:ind w:left="1060"/>
              <w:spacing w:after="0"/>
              <w:rPr>
                <w:sz w:val="20"/>
                <w:szCs w:val="20"/>
                <w:color w:val="auto"/>
              </w:rPr>
            </w:pPr>
            <w:r>
              <w:rPr>
                <w:rFonts w:ascii="Arial" w:cs="Arial" w:eastAsia="Arial" w:hAnsi="Arial"/>
                <w:sz w:val="18"/>
                <w:szCs w:val="18"/>
                <w:color w:val="auto"/>
              </w:rPr>
              <w:t>$7.60 - $7.90</w:t>
            </w:r>
          </w:p>
        </w:tc>
        <w:tc>
          <w:tcPr>
            <w:tcW w:w="2920" w:type="dxa"/>
            <w:vAlign w:val="bottom"/>
            <w:tcBorders>
              <w:bottom w:val="single" w:sz="8" w:color="384348"/>
            </w:tcBorders>
          </w:tcPr>
          <w:p>
            <w:pPr>
              <w:ind w:left="600"/>
              <w:spacing w:after="0"/>
              <w:rPr>
                <w:sz w:val="20"/>
                <w:szCs w:val="20"/>
                <w:color w:val="auto"/>
              </w:rPr>
            </w:pPr>
            <w:r>
              <w:rPr>
                <w:rFonts w:ascii="Arial" w:cs="Arial" w:eastAsia="Arial" w:hAnsi="Arial"/>
                <w:sz w:val="18"/>
                <w:szCs w:val="18"/>
                <w:color w:val="auto"/>
              </w:rPr>
              <w:t>$7.85 - $8.00</w:t>
            </w:r>
          </w:p>
        </w:tc>
      </w:tr>
      <w:tr>
        <w:trPr>
          <w:trHeight w:val="250"/>
        </w:trPr>
        <w:tc>
          <w:tcPr>
            <w:tcW w:w="5340" w:type="dxa"/>
            <w:vAlign w:val="bottom"/>
            <w:tcBorders>
              <w:bottom w:val="single" w:sz="8" w:color="384348"/>
            </w:tcBorders>
          </w:tcPr>
          <w:p>
            <w:pPr>
              <w:ind w:left="20"/>
              <w:spacing w:after="0" w:line="250" w:lineRule="exact"/>
              <w:rPr>
                <w:sz w:val="20"/>
                <w:szCs w:val="20"/>
                <w:color w:val="auto"/>
              </w:rPr>
            </w:pPr>
            <w:r>
              <w:rPr>
                <w:rFonts w:ascii="Arial" w:cs="Arial" w:eastAsia="Arial" w:hAnsi="Arial"/>
                <w:sz w:val="18"/>
                <w:szCs w:val="18"/>
                <w:color w:val="auto"/>
              </w:rPr>
              <w:t>Second half free cash flow</w:t>
            </w:r>
            <w:r>
              <w:rPr>
                <w:rFonts w:ascii="Arial" w:cs="Arial" w:eastAsia="Arial" w:hAnsi="Arial"/>
                <w:sz w:val="23"/>
                <w:szCs w:val="23"/>
                <w:color w:val="auto"/>
                <w:vertAlign w:val="superscript"/>
              </w:rPr>
              <w:t>1,4</w:t>
            </w:r>
          </w:p>
        </w:tc>
        <w:tc>
          <w:tcPr>
            <w:tcW w:w="2960" w:type="dxa"/>
            <w:vAlign w:val="bottom"/>
            <w:tcBorders>
              <w:bottom w:val="single" w:sz="8" w:color="384348"/>
            </w:tcBorders>
          </w:tcPr>
          <w:p>
            <w:pPr>
              <w:ind w:left="1060"/>
              <w:spacing w:after="0"/>
              <w:rPr>
                <w:sz w:val="20"/>
                <w:szCs w:val="20"/>
                <w:color w:val="auto"/>
              </w:rPr>
            </w:pPr>
            <w:r>
              <w:rPr>
                <w:rFonts w:ascii="Arial" w:cs="Arial" w:eastAsia="Arial" w:hAnsi="Arial"/>
                <w:sz w:val="18"/>
                <w:szCs w:val="18"/>
                <w:color w:val="auto"/>
              </w:rPr>
              <w:t>$1.0B - $1.4B</w:t>
            </w:r>
          </w:p>
        </w:tc>
        <w:tc>
          <w:tcPr>
            <w:tcW w:w="2920" w:type="dxa"/>
            <w:vAlign w:val="bottom"/>
            <w:tcBorders>
              <w:bottom w:val="single" w:sz="8" w:color="384348"/>
            </w:tcBorders>
          </w:tcPr>
          <w:p>
            <w:pPr>
              <w:ind w:left="600"/>
              <w:spacing w:after="0"/>
              <w:rPr>
                <w:sz w:val="20"/>
                <w:szCs w:val="20"/>
                <w:color w:val="auto"/>
              </w:rPr>
            </w:pPr>
            <w:r>
              <w:rPr>
                <w:rFonts w:ascii="Arial" w:cs="Arial" w:eastAsia="Arial" w:hAnsi="Arial"/>
                <w:sz w:val="18"/>
                <w:szCs w:val="18"/>
                <w:color w:val="auto"/>
              </w:rPr>
              <w:t>$1.2B - $1.4B</w:t>
            </w:r>
          </w:p>
        </w:tc>
      </w:tr>
    </w:tbl>
    <w:p>
      <w:pPr>
        <w:spacing w:after="0" w:line="8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See additional information at the end of this release regarding non-GAAP financial measures.</w:t>
      </w:r>
    </w:p>
    <w:p>
      <w:pPr>
        <w:spacing w:after="0" w:line="28" w:lineRule="exact"/>
        <w:rPr>
          <w:rFonts w:ascii="Arial" w:cs="Arial" w:eastAsia="Arial" w:hAnsi="Arial"/>
          <w:sz w:val="14"/>
          <w:szCs w:val="14"/>
          <w:color w:val="auto"/>
        </w:rPr>
      </w:pP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Comparisons to prior year pre-separation results are not presented as they are not considered meaningful.</w:t>
      </w:r>
    </w:p>
    <w:p>
      <w:pPr>
        <w:spacing w:after="0" w:line="1" w:lineRule="exact"/>
        <w:rPr>
          <w:rFonts w:ascii="Arial" w:cs="Arial" w:eastAsia="Arial" w:hAnsi="Arial"/>
          <w:sz w:val="14"/>
          <w:szCs w:val="14"/>
          <w:color w:val="auto"/>
        </w:rPr>
      </w:pPr>
    </w:p>
    <w:p>
      <w:pPr>
        <w:jc w:val="both"/>
        <w:ind w:left="660" w:hanging="328"/>
        <w:spacing w:after="0" w:line="261" w:lineRule="auto"/>
        <w:tabs>
          <w:tab w:leader="none" w:pos="658" w:val="left"/>
        </w:tabs>
        <w:numPr>
          <w:ilvl w:val="0"/>
          <w:numId w:val="5"/>
        </w:numPr>
        <w:rPr>
          <w:rFonts w:ascii="Arial" w:cs="Arial" w:eastAsia="Arial" w:hAnsi="Arial"/>
          <w:sz w:val="14"/>
          <w:szCs w:val="14"/>
          <w:color w:val="auto"/>
        </w:rPr>
      </w:pPr>
      <w:r>
        <w:rPr>
          <w:rFonts w:ascii="Arial" w:cs="Arial" w:eastAsia="Arial" w:hAnsi="Arial"/>
          <w:sz w:val="14"/>
          <w:szCs w:val="14"/>
          <w:color w:val="auto"/>
        </w:rPr>
        <w:t>Earnings per share and adjusted earnings per share for all periods prior to the spin-off is calculated using 317 million common shares based on the shares of Honeywell Aerospace common stock outstanding as of the spin-off date, June 29, 2026. It is assumed there are no dilutive equity instruments as there were no equity awards of Honeywell Aerospace outstanding prior to the spin-off.</w:t>
      </w:r>
    </w:p>
    <w:p>
      <w:pPr>
        <w:spacing w:after="0" w:line="1" w:lineRule="exact"/>
        <w:rPr>
          <w:rFonts w:ascii="Arial" w:cs="Arial" w:eastAsia="Arial" w:hAnsi="Arial"/>
          <w:sz w:val="14"/>
          <w:szCs w:val="14"/>
          <w:color w:val="auto"/>
        </w:rPr>
      </w:pPr>
    </w:p>
    <w:p>
      <w:pPr>
        <w:jc w:val="both"/>
        <w:ind w:left="660" w:hanging="328"/>
        <w:spacing w:after="0" w:line="265" w:lineRule="auto"/>
        <w:tabs>
          <w:tab w:leader="none" w:pos="658" w:val="left"/>
        </w:tabs>
        <w:numPr>
          <w:ilvl w:val="0"/>
          <w:numId w:val="5"/>
        </w:numPr>
        <w:rPr>
          <w:rFonts w:ascii="Arial" w:cs="Arial" w:eastAsia="Arial" w:hAnsi="Arial"/>
          <w:sz w:val="14"/>
          <w:szCs w:val="14"/>
          <w:color w:val="auto"/>
        </w:rPr>
      </w:pPr>
      <w:r>
        <w:rPr>
          <w:rFonts w:ascii="Arial" w:cs="Arial" w:eastAsia="Arial" w:hAnsi="Arial"/>
          <w:sz w:val="14"/>
          <w:szCs w:val="14"/>
          <w:color w:val="auto"/>
        </w:rPr>
        <w:t>Organic growth, pro forma standalone adjusted EBIT, pro forma standalone adjusted EPS and free cash flow are non-GAAP financial measures. We are unable to provide a reconciliation of these forward-looking measures to the most directly comparable GAAP measures without unreasonable effort because we cannot reliably predict the amount and timing of certain items that may be material to our GAAP results. The magnitude of these items may be material to the comparable GAAP measures.</w:t>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Honeywell Aerospace 3Q26 Results - 3</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Electronic Solutions </w:t>
      </w:r>
      <w:r>
        <w:rPr>
          <w:rFonts w:ascii="Arial" w:cs="Arial" w:eastAsia="Arial" w:hAnsi="Arial"/>
          <w:sz w:val="18"/>
          <w:szCs w:val="18"/>
          <w:color w:val="auto"/>
        </w:rPr>
        <w:t>sales grew 4% year over year on a reported basis and 5% organically¹, led by strength in Commercial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and Defense and Space. Segment adjusted EBIT¹ increased by 11% year over year as tariff refunds and pricing more than offset unfavorable mix and higher costs.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60" w:type="dxa"/>
            <w:vAlign w:val="bottom"/>
            <w:tcBorders>
              <w:bottom w:val="single" w:sz="8" w:color="FF4400"/>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940" w:type="dxa"/>
            <w:vAlign w:val="bottom"/>
            <w:tcBorders>
              <w:bottom w:val="single" w:sz="8" w:color="FF4400"/>
            </w:tcBorders>
          </w:tcPr>
          <w:p>
            <w:pPr>
              <w:ind w:left="860"/>
              <w:spacing w:after="0"/>
              <w:rPr>
                <w:sz w:val="20"/>
                <w:szCs w:val="20"/>
                <w:color w:val="auto"/>
              </w:rPr>
            </w:pPr>
            <w:r>
              <w:rPr>
                <w:rFonts w:ascii="Arial" w:cs="Arial" w:eastAsia="Arial" w:hAnsi="Arial"/>
                <w:sz w:val="14"/>
                <w:szCs w:val="14"/>
                <w:b w:val="1"/>
                <w:bCs w:val="1"/>
                <w:color w:val="auto"/>
              </w:rPr>
              <w:t>3Q 2026</w:t>
            </w:r>
          </w:p>
        </w:tc>
        <w:tc>
          <w:tcPr>
            <w:tcW w:w="1620" w:type="dxa"/>
            <w:vAlign w:val="bottom"/>
            <w:tcBorders>
              <w:bottom w:val="single" w:sz="8" w:color="FF4400"/>
            </w:tcBorders>
          </w:tcPr>
          <w:p>
            <w:pPr>
              <w:ind w:left="540"/>
              <w:spacing w:after="0"/>
              <w:rPr>
                <w:sz w:val="20"/>
                <w:szCs w:val="20"/>
                <w:color w:val="auto"/>
              </w:rPr>
            </w:pPr>
            <w:r>
              <w:rPr>
                <w:rFonts w:ascii="Arial" w:cs="Arial" w:eastAsia="Arial" w:hAnsi="Arial"/>
                <w:sz w:val="14"/>
                <w:szCs w:val="14"/>
                <w:b w:val="1"/>
                <w:bCs w:val="1"/>
                <w:color w:val="auto"/>
              </w:rPr>
              <w:t>3Q 2025</w:t>
            </w:r>
          </w:p>
        </w:tc>
        <w:tc>
          <w:tcPr>
            <w:tcW w:w="1680" w:type="dxa"/>
            <w:vAlign w:val="bottom"/>
            <w:tcBorders>
              <w:bottom w:val="single" w:sz="8" w:color="FF4400"/>
            </w:tcBorders>
          </w:tcPr>
          <w:p>
            <w:pPr>
              <w:ind w:left="520"/>
              <w:spacing w:after="0"/>
              <w:rPr>
                <w:sz w:val="20"/>
                <w:szCs w:val="20"/>
                <w:color w:val="auto"/>
              </w:rPr>
            </w:pPr>
            <w:r>
              <w:rPr>
                <w:rFonts w:ascii="Arial" w:cs="Arial" w:eastAsia="Arial" w:hAnsi="Arial"/>
                <w:sz w:val="14"/>
                <w:szCs w:val="14"/>
                <w:b w:val="1"/>
                <w:bCs w:val="1"/>
                <w:color w:val="auto"/>
              </w:rPr>
              <w:t>% Change</w:t>
            </w:r>
          </w:p>
        </w:tc>
        <w:tc>
          <w:tcPr>
            <w:tcW w:w="1940" w:type="dxa"/>
            <w:vAlign w:val="bottom"/>
            <w:tcBorders>
              <w:bottom w:val="single" w:sz="8" w:color="FF4400"/>
            </w:tcBorders>
          </w:tcPr>
          <w:p>
            <w:pPr>
              <w:ind w:left="440"/>
              <w:spacing w:after="0"/>
              <w:rPr>
                <w:sz w:val="20"/>
                <w:szCs w:val="20"/>
                <w:color w:val="auto"/>
              </w:rPr>
            </w:pPr>
            <w:r>
              <w:rPr>
                <w:rFonts w:ascii="Arial" w:cs="Arial" w:eastAsia="Arial" w:hAnsi="Arial"/>
                <w:sz w:val="14"/>
                <w:szCs w:val="14"/>
                <w:b w:val="1"/>
                <w:bCs w:val="1"/>
                <w:color w:val="auto"/>
              </w:rPr>
              <w:t>% Organic</w:t>
            </w:r>
            <w:r>
              <w:rPr>
                <w:rFonts w:ascii="Arial" w:cs="Arial" w:eastAsia="Arial" w:hAnsi="Arial"/>
                <w:sz w:val="9"/>
                <w:szCs w:val="9"/>
                <w:b w:val="1"/>
                <w:bCs w:val="1"/>
                <w:color w:val="auto"/>
              </w:rPr>
              <w:t>1</w:t>
            </w:r>
          </w:p>
        </w:tc>
      </w:tr>
      <w:tr>
        <w:trPr>
          <w:trHeight w:val="256"/>
        </w:trPr>
        <w:tc>
          <w:tcPr>
            <w:tcW w:w="406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Sales</w:t>
            </w:r>
          </w:p>
        </w:tc>
        <w:tc>
          <w:tcPr>
            <w:tcW w:w="1940" w:type="dxa"/>
            <w:vAlign w:val="bottom"/>
            <w:tcBorders>
              <w:bottom w:val="single" w:sz="8" w:color="384348"/>
            </w:tcBorders>
          </w:tcPr>
          <w:p>
            <w:pPr>
              <w:ind w:left="860"/>
              <w:spacing w:after="0"/>
              <w:rPr>
                <w:sz w:val="20"/>
                <w:szCs w:val="20"/>
                <w:color w:val="auto"/>
              </w:rPr>
            </w:pPr>
            <w:r>
              <w:rPr>
                <w:rFonts w:ascii="Arial" w:cs="Arial" w:eastAsia="Arial" w:hAnsi="Arial"/>
                <w:sz w:val="18"/>
                <w:szCs w:val="18"/>
                <w:color w:val="auto"/>
              </w:rPr>
              <w:t>$1,784</w:t>
            </w:r>
          </w:p>
        </w:tc>
        <w:tc>
          <w:tcPr>
            <w:tcW w:w="1620" w:type="dxa"/>
            <w:vAlign w:val="bottom"/>
            <w:tcBorders>
              <w:bottom w:val="single" w:sz="8" w:color="384348"/>
            </w:tcBorders>
          </w:tcPr>
          <w:p>
            <w:pPr>
              <w:ind w:left="540"/>
              <w:spacing w:after="0"/>
              <w:rPr>
                <w:sz w:val="20"/>
                <w:szCs w:val="20"/>
                <w:color w:val="auto"/>
              </w:rPr>
            </w:pPr>
            <w:r>
              <w:rPr>
                <w:rFonts w:ascii="Arial" w:cs="Arial" w:eastAsia="Arial" w:hAnsi="Arial"/>
                <w:sz w:val="18"/>
                <w:szCs w:val="18"/>
                <w:color w:val="auto"/>
              </w:rPr>
              <w:t>$1,708</w:t>
            </w:r>
          </w:p>
        </w:tc>
        <w:tc>
          <w:tcPr>
            <w:tcW w:w="1680" w:type="dxa"/>
            <w:vAlign w:val="bottom"/>
            <w:tcBorders>
              <w:bottom w:val="single" w:sz="8" w:color="384348"/>
            </w:tcBorders>
          </w:tcPr>
          <w:p>
            <w:pPr>
              <w:ind w:left="520"/>
              <w:spacing w:after="0"/>
              <w:rPr>
                <w:sz w:val="20"/>
                <w:szCs w:val="20"/>
                <w:color w:val="auto"/>
              </w:rPr>
            </w:pPr>
            <w:r>
              <w:rPr>
                <w:rFonts w:ascii="Arial" w:cs="Arial" w:eastAsia="Arial" w:hAnsi="Arial"/>
                <w:sz w:val="18"/>
                <w:szCs w:val="18"/>
                <w:color w:val="auto"/>
              </w:rPr>
              <w:t>4%</w:t>
            </w:r>
          </w:p>
        </w:tc>
        <w:tc>
          <w:tcPr>
            <w:tcW w:w="1940" w:type="dxa"/>
            <w:vAlign w:val="bottom"/>
            <w:tcBorders>
              <w:bottom w:val="single" w:sz="8" w:color="384348"/>
            </w:tcBorders>
          </w:tcPr>
          <w:p>
            <w:pPr>
              <w:ind w:left="440"/>
              <w:spacing w:after="0"/>
              <w:rPr>
                <w:sz w:val="20"/>
                <w:szCs w:val="20"/>
                <w:color w:val="auto"/>
              </w:rPr>
            </w:pPr>
            <w:r>
              <w:rPr>
                <w:rFonts w:ascii="Arial" w:cs="Arial" w:eastAsia="Arial" w:hAnsi="Arial"/>
                <w:sz w:val="18"/>
                <w:szCs w:val="18"/>
                <w:color w:val="auto"/>
              </w:rPr>
              <w:t>5%</w:t>
            </w:r>
          </w:p>
        </w:tc>
      </w:tr>
      <w:tr>
        <w:trPr>
          <w:trHeight w:val="250"/>
        </w:trPr>
        <w:tc>
          <w:tcPr>
            <w:tcW w:w="4060" w:type="dxa"/>
            <w:vAlign w:val="bottom"/>
            <w:tcBorders>
              <w:bottom w:val="single" w:sz="8" w:color="384348"/>
            </w:tcBorders>
          </w:tcPr>
          <w:p>
            <w:pPr>
              <w:ind w:left="20"/>
              <w:spacing w:after="0" w:line="250" w:lineRule="exact"/>
              <w:rPr>
                <w:sz w:val="20"/>
                <w:szCs w:val="20"/>
                <w:color w:val="auto"/>
              </w:rPr>
            </w:pPr>
            <w:r>
              <w:rPr>
                <w:rFonts w:ascii="Arial" w:cs="Arial" w:eastAsia="Arial" w:hAnsi="Arial"/>
                <w:sz w:val="18"/>
                <w:szCs w:val="18"/>
                <w:color w:val="auto"/>
              </w:rPr>
              <w:t>Segment profit/segment adjusted EBIT</w:t>
            </w:r>
            <w:r>
              <w:rPr>
                <w:rFonts w:ascii="Arial" w:cs="Arial" w:eastAsia="Arial" w:hAnsi="Arial"/>
                <w:sz w:val="23"/>
                <w:szCs w:val="23"/>
                <w:color w:val="auto"/>
                <w:vertAlign w:val="superscript"/>
              </w:rPr>
              <w:t>1</w:t>
            </w:r>
          </w:p>
        </w:tc>
        <w:tc>
          <w:tcPr>
            <w:tcW w:w="1940" w:type="dxa"/>
            <w:vAlign w:val="bottom"/>
            <w:tcBorders>
              <w:bottom w:val="single" w:sz="8" w:color="384348"/>
            </w:tcBorders>
          </w:tcPr>
          <w:p>
            <w:pPr>
              <w:ind w:left="860"/>
              <w:spacing w:after="0"/>
              <w:rPr>
                <w:sz w:val="20"/>
                <w:szCs w:val="20"/>
                <w:color w:val="auto"/>
              </w:rPr>
            </w:pPr>
            <w:r>
              <w:rPr>
                <w:rFonts w:ascii="Arial" w:cs="Arial" w:eastAsia="Arial" w:hAnsi="Arial"/>
                <w:sz w:val="18"/>
                <w:szCs w:val="18"/>
                <w:color w:val="auto"/>
              </w:rPr>
              <w:t>$564</w:t>
            </w:r>
          </w:p>
        </w:tc>
        <w:tc>
          <w:tcPr>
            <w:tcW w:w="1620" w:type="dxa"/>
            <w:vAlign w:val="bottom"/>
            <w:tcBorders>
              <w:bottom w:val="single" w:sz="8" w:color="384348"/>
            </w:tcBorders>
          </w:tcPr>
          <w:p>
            <w:pPr>
              <w:ind w:left="540"/>
              <w:spacing w:after="0"/>
              <w:rPr>
                <w:sz w:val="20"/>
                <w:szCs w:val="20"/>
                <w:color w:val="auto"/>
              </w:rPr>
            </w:pPr>
            <w:r>
              <w:rPr>
                <w:rFonts w:ascii="Arial" w:cs="Arial" w:eastAsia="Arial" w:hAnsi="Arial"/>
                <w:sz w:val="18"/>
                <w:szCs w:val="18"/>
                <w:color w:val="auto"/>
              </w:rPr>
              <w:t>$510</w:t>
            </w:r>
          </w:p>
        </w:tc>
        <w:tc>
          <w:tcPr>
            <w:tcW w:w="1680" w:type="dxa"/>
            <w:vAlign w:val="bottom"/>
            <w:tcBorders>
              <w:bottom w:val="single" w:sz="8" w:color="384348"/>
            </w:tcBorders>
          </w:tcPr>
          <w:p>
            <w:pPr>
              <w:ind w:left="520"/>
              <w:spacing w:after="0"/>
              <w:rPr>
                <w:sz w:val="20"/>
                <w:szCs w:val="20"/>
                <w:color w:val="auto"/>
              </w:rPr>
            </w:pPr>
            <w:r>
              <w:rPr>
                <w:rFonts w:ascii="Arial" w:cs="Arial" w:eastAsia="Arial" w:hAnsi="Arial"/>
                <w:sz w:val="18"/>
                <w:szCs w:val="18"/>
                <w:color w:val="auto"/>
              </w:rPr>
              <w:t>11%</w:t>
            </w:r>
          </w:p>
        </w:tc>
        <w:tc>
          <w:tcPr>
            <w:tcW w:w="1940" w:type="dxa"/>
            <w:vAlign w:val="bottom"/>
            <w:tcBorders>
              <w:bottom w:val="single" w:sz="8" w:color="384348"/>
            </w:tcBorders>
          </w:tcPr>
          <w:p>
            <w:pPr>
              <w:spacing w:after="0"/>
              <w:rPr>
                <w:sz w:val="21"/>
                <w:szCs w:val="21"/>
                <w:color w:val="auto"/>
              </w:rPr>
            </w:pPr>
          </w:p>
        </w:tc>
      </w:tr>
    </w:tbl>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Engines and Power Systems </w:t>
      </w:r>
      <w:r>
        <w:rPr>
          <w:rFonts w:ascii="Arial" w:cs="Arial" w:eastAsia="Arial" w:hAnsi="Arial"/>
          <w:sz w:val="18"/>
          <w:szCs w:val="18"/>
          <w:color w:val="auto"/>
        </w:rPr>
        <w:t>sales increased 3% year over year on a reported basis and 2% organically¹, led by higher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Aftermarket volumes. Segment adjusted EBIT¹ decreased 16% year over year as unfavorable mix and higher costs more than offset price and the impact of tariff refunds.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060" w:type="dxa"/>
            <w:vAlign w:val="bottom"/>
            <w:tcBorders>
              <w:bottom w:val="single" w:sz="8" w:color="FF4400"/>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940" w:type="dxa"/>
            <w:vAlign w:val="bottom"/>
            <w:tcBorders>
              <w:bottom w:val="single" w:sz="8" w:color="FF4400"/>
            </w:tcBorders>
          </w:tcPr>
          <w:p>
            <w:pPr>
              <w:ind w:left="860"/>
              <w:spacing w:after="0"/>
              <w:rPr>
                <w:sz w:val="20"/>
                <w:szCs w:val="20"/>
                <w:color w:val="auto"/>
              </w:rPr>
            </w:pPr>
            <w:r>
              <w:rPr>
                <w:rFonts w:ascii="Arial" w:cs="Arial" w:eastAsia="Arial" w:hAnsi="Arial"/>
                <w:sz w:val="14"/>
                <w:szCs w:val="14"/>
                <w:b w:val="1"/>
                <w:bCs w:val="1"/>
                <w:color w:val="auto"/>
              </w:rPr>
              <w:t>3Q 2026</w:t>
            </w:r>
          </w:p>
        </w:tc>
        <w:tc>
          <w:tcPr>
            <w:tcW w:w="1620" w:type="dxa"/>
            <w:vAlign w:val="bottom"/>
            <w:tcBorders>
              <w:bottom w:val="single" w:sz="8" w:color="FF4400"/>
            </w:tcBorders>
          </w:tcPr>
          <w:p>
            <w:pPr>
              <w:ind w:left="540"/>
              <w:spacing w:after="0"/>
              <w:rPr>
                <w:sz w:val="20"/>
                <w:szCs w:val="20"/>
                <w:color w:val="auto"/>
              </w:rPr>
            </w:pPr>
            <w:r>
              <w:rPr>
                <w:rFonts w:ascii="Arial" w:cs="Arial" w:eastAsia="Arial" w:hAnsi="Arial"/>
                <w:sz w:val="14"/>
                <w:szCs w:val="14"/>
                <w:b w:val="1"/>
                <w:bCs w:val="1"/>
                <w:color w:val="auto"/>
              </w:rPr>
              <w:t>3Q 2025</w:t>
            </w:r>
          </w:p>
        </w:tc>
        <w:tc>
          <w:tcPr>
            <w:tcW w:w="1680" w:type="dxa"/>
            <w:vAlign w:val="bottom"/>
            <w:tcBorders>
              <w:bottom w:val="single" w:sz="8" w:color="FF4400"/>
            </w:tcBorders>
          </w:tcPr>
          <w:p>
            <w:pPr>
              <w:ind w:left="520"/>
              <w:spacing w:after="0"/>
              <w:rPr>
                <w:sz w:val="20"/>
                <w:szCs w:val="20"/>
                <w:color w:val="auto"/>
              </w:rPr>
            </w:pPr>
            <w:r>
              <w:rPr>
                <w:rFonts w:ascii="Arial" w:cs="Arial" w:eastAsia="Arial" w:hAnsi="Arial"/>
                <w:sz w:val="14"/>
                <w:szCs w:val="14"/>
                <w:b w:val="1"/>
                <w:bCs w:val="1"/>
                <w:color w:val="auto"/>
              </w:rPr>
              <w:t>% Change</w:t>
            </w:r>
          </w:p>
        </w:tc>
        <w:tc>
          <w:tcPr>
            <w:tcW w:w="1940" w:type="dxa"/>
            <w:vAlign w:val="bottom"/>
            <w:tcBorders>
              <w:bottom w:val="single" w:sz="8" w:color="FF4400"/>
            </w:tcBorders>
          </w:tcPr>
          <w:p>
            <w:pPr>
              <w:ind w:left="440"/>
              <w:spacing w:after="0"/>
              <w:rPr>
                <w:sz w:val="20"/>
                <w:szCs w:val="20"/>
                <w:color w:val="auto"/>
              </w:rPr>
            </w:pPr>
            <w:r>
              <w:rPr>
                <w:rFonts w:ascii="Arial" w:cs="Arial" w:eastAsia="Arial" w:hAnsi="Arial"/>
                <w:sz w:val="14"/>
                <w:szCs w:val="14"/>
                <w:b w:val="1"/>
                <w:bCs w:val="1"/>
                <w:color w:val="auto"/>
              </w:rPr>
              <w:t>% Organic</w:t>
            </w:r>
            <w:r>
              <w:rPr>
                <w:rFonts w:ascii="Arial" w:cs="Arial" w:eastAsia="Arial" w:hAnsi="Arial"/>
                <w:sz w:val="18"/>
                <w:szCs w:val="18"/>
                <w:b w:val="1"/>
                <w:bCs w:val="1"/>
                <w:color w:val="auto"/>
                <w:vertAlign w:val="superscript"/>
              </w:rPr>
              <w:t>1</w:t>
            </w:r>
          </w:p>
        </w:tc>
      </w:tr>
      <w:tr>
        <w:trPr>
          <w:trHeight w:val="243"/>
        </w:trPr>
        <w:tc>
          <w:tcPr>
            <w:tcW w:w="406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Sales</w:t>
            </w:r>
          </w:p>
        </w:tc>
        <w:tc>
          <w:tcPr>
            <w:tcW w:w="1940" w:type="dxa"/>
            <w:vAlign w:val="bottom"/>
            <w:tcBorders>
              <w:bottom w:val="single" w:sz="8" w:color="384348"/>
            </w:tcBorders>
          </w:tcPr>
          <w:p>
            <w:pPr>
              <w:ind w:left="860"/>
              <w:spacing w:after="0"/>
              <w:rPr>
                <w:sz w:val="20"/>
                <w:szCs w:val="20"/>
                <w:color w:val="auto"/>
              </w:rPr>
            </w:pPr>
            <w:r>
              <w:rPr>
                <w:rFonts w:ascii="Arial" w:cs="Arial" w:eastAsia="Arial" w:hAnsi="Arial"/>
                <w:sz w:val="18"/>
                <w:szCs w:val="18"/>
                <w:color w:val="auto"/>
              </w:rPr>
              <w:t>$1,515</w:t>
            </w:r>
          </w:p>
        </w:tc>
        <w:tc>
          <w:tcPr>
            <w:tcW w:w="1620" w:type="dxa"/>
            <w:vAlign w:val="bottom"/>
            <w:tcBorders>
              <w:bottom w:val="single" w:sz="8" w:color="384348"/>
            </w:tcBorders>
          </w:tcPr>
          <w:p>
            <w:pPr>
              <w:ind w:left="540"/>
              <w:spacing w:after="0"/>
              <w:rPr>
                <w:sz w:val="20"/>
                <w:szCs w:val="20"/>
                <w:color w:val="auto"/>
              </w:rPr>
            </w:pPr>
            <w:r>
              <w:rPr>
                <w:rFonts w:ascii="Arial" w:cs="Arial" w:eastAsia="Arial" w:hAnsi="Arial"/>
                <w:sz w:val="18"/>
                <w:szCs w:val="18"/>
                <w:color w:val="auto"/>
              </w:rPr>
              <w:t>$1,478</w:t>
            </w:r>
          </w:p>
        </w:tc>
        <w:tc>
          <w:tcPr>
            <w:tcW w:w="1680" w:type="dxa"/>
            <w:vAlign w:val="bottom"/>
            <w:tcBorders>
              <w:bottom w:val="single" w:sz="8" w:color="384348"/>
            </w:tcBorders>
          </w:tcPr>
          <w:p>
            <w:pPr>
              <w:ind w:left="520"/>
              <w:spacing w:after="0"/>
              <w:rPr>
                <w:sz w:val="20"/>
                <w:szCs w:val="20"/>
                <w:color w:val="auto"/>
              </w:rPr>
            </w:pPr>
            <w:r>
              <w:rPr>
                <w:rFonts w:ascii="Arial" w:cs="Arial" w:eastAsia="Arial" w:hAnsi="Arial"/>
                <w:sz w:val="18"/>
                <w:szCs w:val="18"/>
                <w:color w:val="auto"/>
              </w:rPr>
              <w:t>3%</w:t>
            </w:r>
          </w:p>
        </w:tc>
        <w:tc>
          <w:tcPr>
            <w:tcW w:w="1940" w:type="dxa"/>
            <w:vAlign w:val="bottom"/>
            <w:tcBorders>
              <w:bottom w:val="single" w:sz="8" w:color="384348"/>
            </w:tcBorders>
          </w:tcPr>
          <w:p>
            <w:pPr>
              <w:ind w:left="440"/>
              <w:spacing w:after="0"/>
              <w:rPr>
                <w:sz w:val="20"/>
                <w:szCs w:val="20"/>
                <w:color w:val="auto"/>
              </w:rPr>
            </w:pPr>
            <w:r>
              <w:rPr>
                <w:rFonts w:ascii="Arial" w:cs="Arial" w:eastAsia="Arial" w:hAnsi="Arial"/>
                <w:sz w:val="18"/>
                <w:szCs w:val="18"/>
                <w:color w:val="auto"/>
              </w:rPr>
              <w:t>2%</w:t>
            </w:r>
          </w:p>
        </w:tc>
      </w:tr>
      <w:tr>
        <w:trPr>
          <w:trHeight w:val="257"/>
        </w:trPr>
        <w:tc>
          <w:tcPr>
            <w:tcW w:w="4060" w:type="dxa"/>
            <w:vAlign w:val="bottom"/>
            <w:tcBorders>
              <w:bottom w:val="single" w:sz="8" w:color="384348"/>
            </w:tcBorders>
          </w:tcPr>
          <w:p>
            <w:pPr>
              <w:ind w:left="20"/>
              <w:spacing w:after="0" w:line="256" w:lineRule="exact"/>
              <w:rPr>
                <w:sz w:val="20"/>
                <w:szCs w:val="20"/>
                <w:color w:val="auto"/>
              </w:rPr>
            </w:pPr>
            <w:r>
              <w:rPr>
                <w:rFonts w:ascii="Arial" w:cs="Arial" w:eastAsia="Arial" w:hAnsi="Arial"/>
                <w:sz w:val="18"/>
                <w:szCs w:val="18"/>
                <w:color w:val="auto"/>
              </w:rPr>
              <w:t>Segment profit/segment adjusted EBIT</w:t>
            </w:r>
            <w:r>
              <w:rPr>
                <w:rFonts w:ascii="Arial" w:cs="Arial" w:eastAsia="Arial" w:hAnsi="Arial"/>
                <w:sz w:val="23"/>
                <w:szCs w:val="23"/>
                <w:color w:val="auto"/>
                <w:vertAlign w:val="superscript"/>
              </w:rPr>
              <w:t>1</w:t>
            </w:r>
          </w:p>
        </w:tc>
        <w:tc>
          <w:tcPr>
            <w:tcW w:w="1940" w:type="dxa"/>
            <w:vAlign w:val="bottom"/>
            <w:tcBorders>
              <w:bottom w:val="single" w:sz="8" w:color="384348"/>
            </w:tcBorders>
          </w:tcPr>
          <w:p>
            <w:pPr>
              <w:ind w:left="860"/>
              <w:spacing w:after="0"/>
              <w:rPr>
                <w:sz w:val="20"/>
                <w:szCs w:val="20"/>
                <w:color w:val="auto"/>
              </w:rPr>
            </w:pPr>
            <w:r>
              <w:rPr>
                <w:rFonts w:ascii="Arial" w:cs="Arial" w:eastAsia="Arial" w:hAnsi="Arial"/>
                <w:sz w:val="18"/>
                <w:szCs w:val="18"/>
                <w:color w:val="auto"/>
              </w:rPr>
              <w:t>$250</w:t>
            </w:r>
          </w:p>
        </w:tc>
        <w:tc>
          <w:tcPr>
            <w:tcW w:w="1620" w:type="dxa"/>
            <w:vAlign w:val="bottom"/>
            <w:tcBorders>
              <w:bottom w:val="single" w:sz="8" w:color="384348"/>
            </w:tcBorders>
          </w:tcPr>
          <w:p>
            <w:pPr>
              <w:ind w:left="540"/>
              <w:spacing w:after="0"/>
              <w:rPr>
                <w:sz w:val="20"/>
                <w:szCs w:val="20"/>
                <w:color w:val="auto"/>
              </w:rPr>
            </w:pPr>
            <w:r>
              <w:rPr>
                <w:rFonts w:ascii="Arial" w:cs="Arial" w:eastAsia="Arial" w:hAnsi="Arial"/>
                <w:sz w:val="18"/>
                <w:szCs w:val="18"/>
                <w:color w:val="auto"/>
              </w:rPr>
              <w:t>$299</w:t>
            </w:r>
          </w:p>
        </w:tc>
        <w:tc>
          <w:tcPr>
            <w:tcW w:w="1680" w:type="dxa"/>
            <w:vAlign w:val="bottom"/>
            <w:tcBorders>
              <w:bottom w:val="single" w:sz="8" w:color="384348"/>
            </w:tcBorders>
          </w:tcPr>
          <w:p>
            <w:pPr>
              <w:ind w:left="520"/>
              <w:spacing w:after="0"/>
              <w:rPr>
                <w:sz w:val="20"/>
                <w:szCs w:val="20"/>
                <w:color w:val="auto"/>
              </w:rPr>
            </w:pPr>
            <w:r>
              <w:rPr>
                <w:rFonts w:ascii="Arial" w:cs="Arial" w:eastAsia="Arial" w:hAnsi="Arial"/>
                <w:sz w:val="18"/>
                <w:szCs w:val="18"/>
                <w:color w:val="auto"/>
              </w:rPr>
              <w:t>(16)%</w:t>
            </w:r>
          </w:p>
        </w:tc>
        <w:tc>
          <w:tcPr>
            <w:tcW w:w="1940" w:type="dxa"/>
            <w:vAlign w:val="bottom"/>
            <w:tcBorders>
              <w:bottom w:val="single" w:sz="8" w:color="384348"/>
            </w:tcBorders>
          </w:tcPr>
          <w:p>
            <w:pPr>
              <w:spacing w:after="0"/>
              <w:rPr>
                <w:sz w:val="22"/>
                <w:szCs w:val="22"/>
                <w:color w:val="auto"/>
              </w:rPr>
            </w:pPr>
          </w:p>
        </w:tc>
      </w:tr>
    </w:tbl>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Control Systems </w:t>
      </w:r>
      <w:r>
        <w:rPr>
          <w:rFonts w:ascii="Arial" w:cs="Arial" w:eastAsia="Arial" w:hAnsi="Arial"/>
          <w:sz w:val="18"/>
          <w:szCs w:val="18"/>
          <w:color w:val="auto"/>
        </w:rPr>
        <w:t>sales were flat year over year on a reported and organic¹ basis as Defense and Space growth was offset by a decline in</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Aftermarket. Segment adjusted EBIT¹ increased 2% year over year as price more than offset higher costs and unfavorable mix.</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40" w:type="dxa"/>
            <w:vAlign w:val="bottom"/>
            <w:tcBorders>
              <w:bottom w:val="single" w:sz="8" w:color="FF4400"/>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920" w:type="dxa"/>
            <w:vAlign w:val="bottom"/>
            <w:tcBorders>
              <w:bottom w:val="single" w:sz="8" w:color="FF4400"/>
            </w:tcBorders>
          </w:tcPr>
          <w:p>
            <w:pPr>
              <w:ind w:left="840"/>
              <w:spacing w:after="0"/>
              <w:rPr>
                <w:sz w:val="20"/>
                <w:szCs w:val="20"/>
                <w:color w:val="auto"/>
              </w:rPr>
            </w:pPr>
            <w:r>
              <w:rPr>
                <w:rFonts w:ascii="Arial" w:cs="Arial" w:eastAsia="Arial" w:hAnsi="Arial"/>
                <w:sz w:val="14"/>
                <w:szCs w:val="14"/>
                <w:b w:val="1"/>
                <w:bCs w:val="1"/>
                <w:color w:val="auto"/>
              </w:rPr>
              <w:t>3Q 2026</w:t>
            </w:r>
          </w:p>
        </w:tc>
        <w:tc>
          <w:tcPr>
            <w:tcW w:w="1620" w:type="dxa"/>
            <w:vAlign w:val="bottom"/>
            <w:tcBorders>
              <w:bottom w:val="single" w:sz="8" w:color="FF4400"/>
            </w:tcBorders>
          </w:tcPr>
          <w:p>
            <w:pPr>
              <w:ind w:left="540"/>
              <w:spacing w:after="0"/>
              <w:rPr>
                <w:sz w:val="20"/>
                <w:szCs w:val="20"/>
                <w:color w:val="auto"/>
              </w:rPr>
            </w:pPr>
            <w:r>
              <w:rPr>
                <w:rFonts w:ascii="Arial" w:cs="Arial" w:eastAsia="Arial" w:hAnsi="Arial"/>
                <w:sz w:val="14"/>
                <w:szCs w:val="14"/>
                <w:b w:val="1"/>
                <w:bCs w:val="1"/>
                <w:color w:val="auto"/>
              </w:rPr>
              <w:t>3Q 2025</w:t>
            </w:r>
          </w:p>
        </w:tc>
        <w:tc>
          <w:tcPr>
            <w:tcW w:w="1660" w:type="dxa"/>
            <w:vAlign w:val="bottom"/>
            <w:tcBorders>
              <w:bottom w:val="single" w:sz="8" w:color="FF4400"/>
            </w:tcBorders>
          </w:tcPr>
          <w:p>
            <w:pPr>
              <w:ind w:left="520"/>
              <w:spacing w:after="0"/>
              <w:rPr>
                <w:sz w:val="20"/>
                <w:szCs w:val="20"/>
                <w:color w:val="auto"/>
              </w:rPr>
            </w:pPr>
            <w:r>
              <w:rPr>
                <w:rFonts w:ascii="Arial" w:cs="Arial" w:eastAsia="Arial" w:hAnsi="Arial"/>
                <w:sz w:val="14"/>
                <w:szCs w:val="14"/>
                <w:b w:val="1"/>
                <w:bCs w:val="1"/>
                <w:color w:val="auto"/>
              </w:rPr>
              <w:t>% Change</w:t>
            </w:r>
          </w:p>
        </w:tc>
        <w:tc>
          <w:tcPr>
            <w:tcW w:w="1980" w:type="dxa"/>
            <w:vAlign w:val="bottom"/>
            <w:tcBorders>
              <w:bottom w:val="single" w:sz="8" w:color="FF4400"/>
            </w:tcBorders>
          </w:tcPr>
          <w:p>
            <w:pPr>
              <w:ind w:left="460"/>
              <w:spacing w:after="0"/>
              <w:rPr>
                <w:sz w:val="20"/>
                <w:szCs w:val="20"/>
                <w:color w:val="auto"/>
              </w:rPr>
            </w:pPr>
            <w:r>
              <w:rPr>
                <w:rFonts w:ascii="Arial" w:cs="Arial" w:eastAsia="Arial" w:hAnsi="Arial"/>
                <w:sz w:val="14"/>
                <w:szCs w:val="14"/>
                <w:b w:val="1"/>
                <w:bCs w:val="1"/>
                <w:color w:val="auto"/>
              </w:rPr>
              <w:t>% Organic</w:t>
            </w:r>
            <w:r>
              <w:rPr>
                <w:rFonts w:ascii="Arial" w:cs="Arial" w:eastAsia="Arial" w:hAnsi="Arial"/>
                <w:sz w:val="9"/>
                <w:szCs w:val="9"/>
                <w:b w:val="1"/>
                <w:bCs w:val="1"/>
                <w:color w:val="auto"/>
              </w:rPr>
              <w:t>1</w:t>
            </w:r>
          </w:p>
        </w:tc>
      </w:tr>
      <w:tr>
        <w:trPr>
          <w:trHeight w:val="250"/>
        </w:trPr>
        <w:tc>
          <w:tcPr>
            <w:tcW w:w="404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Sales</w:t>
            </w:r>
          </w:p>
        </w:tc>
        <w:tc>
          <w:tcPr>
            <w:tcW w:w="1920" w:type="dxa"/>
            <w:vAlign w:val="bottom"/>
            <w:tcBorders>
              <w:bottom w:val="single" w:sz="8" w:color="384348"/>
            </w:tcBorders>
          </w:tcPr>
          <w:p>
            <w:pPr>
              <w:ind w:left="840"/>
              <w:spacing w:after="0"/>
              <w:rPr>
                <w:sz w:val="20"/>
                <w:szCs w:val="20"/>
                <w:color w:val="auto"/>
              </w:rPr>
            </w:pPr>
            <w:r>
              <w:rPr>
                <w:rFonts w:ascii="Arial" w:cs="Arial" w:eastAsia="Arial" w:hAnsi="Arial"/>
                <w:sz w:val="18"/>
                <w:szCs w:val="18"/>
                <w:color w:val="auto"/>
              </w:rPr>
              <w:t>$1,345</w:t>
            </w:r>
          </w:p>
        </w:tc>
        <w:tc>
          <w:tcPr>
            <w:tcW w:w="1620" w:type="dxa"/>
            <w:vAlign w:val="bottom"/>
            <w:tcBorders>
              <w:bottom w:val="single" w:sz="8" w:color="384348"/>
            </w:tcBorders>
          </w:tcPr>
          <w:p>
            <w:pPr>
              <w:ind w:left="540"/>
              <w:spacing w:after="0"/>
              <w:rPr>
                <w:sz w:val="20"/>
                <w:szCs w:val="20"/>
                <w:color w:val="auto"/>
              </w:rPr>
            </w:pPr>
            <w:r>
              <w:rPr>
                <w:rFonts w:ascii="Arial" w:cs="Arial" w:eastAsia="Arial" w:hAnsi="Arial"/>
                <w:sz w:val="18"/>
                <w:szCs w:val="18"/>
                <w:color w:val="auto"/>
              </w:rPr>
              <w:t>$1,347</w:t>
            </w:r>
          </w:p>
        </w:tc>
        <w:tc>
          <w:tcPr>
            <w:tcW w:w="1660" w:type="dxa"/>
            <w:vAlign w:val="bottom"/>
            <w:tcBorders>
              <w:bottom w:val="single" w:sz="8" w:color="384348"/>
            </w:tcBorders>
          </w:tcPr>
          <w:p>
            <w:pPr>
              <w:ind w:left="52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384348"/>
            </w:tcBorders>
          </w:tcPr>
          <w:p>
            <w:pPr>
              <w:ind w:left="460"/>
              <w:spacing w:after="0"/>
              <w:rPr>
                <w:sz w:val="20"/>
                <w:szCs w:val="20"/>
                <w:color w:val="auto"/>
              </w:rPr>
            </w:pPr>
            <w:r>
              <w:rPr>
                <w:rFonts w:ascii="Arial" w:cs="Arial" w:eastAsia="Arial" w:hAnsi="Arial"/>
                <w:sz w:val="18"/>
                <w:szCs w:val="18"/>
                <w:color w:val="auto"/>
              </w:rPr>
              <w:t>—%</w:t>
            </w:r>
          </w:p>
        </w:tc>
      </w:tr>
      <w:tr>
        <w:trPr>
          <w:trHeight w:val="257"/>
        </w:trPr>
        <w:tc>
          <w:tcPr>
            <w:tcW w:w="4040" w:type="dxa"/>
            <w:vAlign w:val="bottom"/>
            <w:tcBorders>
              <w:bottom w:val="single" w:sz="8" w:color="384348"/>
            </w:tcBorders>
          </w:tcPr>
          <w:p>
            <w:pPr>
              <w:ind w:left="20"/>
              <w:spacing w:after="0" w:line="256" w:lineRule="exact"/>
              <w:rPr>
                <w:sz w:val="20"/>
                <w:szCs w:val="20"/>
                <w:color w:val="auto"/>
              </w:rPr>
            </w:pPr>
            <w:r>
              <w:rPr>
                <w:rFonts w:ascii="Arial" w:cs="Arial" w:eastAsia="Arial" w:hAnsi="Arial"/>
                <w:sz w:val="18"/>
                <w:szCs w:val="18"/>
                <w:color w:val="auto"/>
              </w:rPr>
              <w:t>Segment profit/segment adjusted EBIT</w:t>
            </w:r>
            <w:r>
              <w:rPr>
                <w:rFonts w:ascii="Arial" w:cs="Arial" w:eastAsia="Arial" w:hAnsi="Arial"/>
                <w:sz w:val="23"/>
                <w:szCs w:val="23"/>
                <w:color w:val="auto"/>
                <w:vertAlign w:val="superscript"/>
              </w:rPr>
              <w:t>1</w:t>
            </w:r>
          </w:p>
        </w:tc>
        <w:tc>
          <w:tcPr>
            <w:tcW w:w="1920" w:type="dxa"/>
            <w:vAlign w:val="bottom"/>
            <w:tcBorders>
              <w:bottom w:val="single" w:sz="8" w:color="384348"/>
            </w:tcBorders>
          </w:tcPr>
          <w:p>
            <w:pPr>
              <w:ind w:left="840"/>
              <w:spacing w:after="0"/>
              <w:rPr>
                <w:sz w:val="20"/>
                <w:szCs w:val="20"/>
                <w:color w:val="auto"/>
              </w:rPr>
            </w:pPr>
            <w:r>
              <w:rPr>
                <w:rFonts w:ascii="Arial" w:cs="Arial" w:eastAsia="Arial" w:hAnsi="Arial"/>
                <w:sz w:val="18"/>
                <w:szCs w:val="18"/>
                <w:color w:val="auto"/>
              </w:rPr>
              <w:t>$382</w:t>
            </w:r>
          </w:p>
        </w:tc>
        <w:tc>
          <w:tcPr>
            <w:tcW w:w="1620" w:type="dxa"/>
            <w:vAlign w:val="bottom"/>
            <w:tcBorders>
              <w:bottom w:val="single" w:sz="8" w:color="384348"/>
            </w:tcBorders>
          </w:tcPr>
          <w:p>
            <w:pPr>
              <w:ind w:left="540"/>
              <w:spacing w:after="0"/>
              <w:rPr>
                <w:sz w:val="20"/>
                <w:szCs w:val="20"/>
                <w:color w:val="auto"/>
              </w:rPr>
            </w:pPr>
            <w:r>
              <w:rPr>
                <w:rFonts w:ascii="Arial" w:cs="Arial" w:eastAsia="Arial" w:hAnsi="Arial"/>
                <w:sz w:val="18"/>
                <w:szCs w:val="18"/>
                <w:color w:val="auto"/>
              </w:rPr>
              <w:t>$376</w:t>
            </w:r>
          </w:p>
        </w:tc>
        <w:tc>
          <w:tcPr>
            <w:tcW w:w="1660" w:type="dxa"/>
            <w:vAlign w:val="bottom"/>
            <w:tcBorders>
              <w:bottom w:val="single" w:sz="8" w:color="384348"/>
            </w:tcBorders>
          </w:tcPr>
          <w:p>
            <w:pPr>
              <w:ind w:left="520"/>
              <w:spacing w:after="0"/>
              <w:rPr>
                <w:sz w:val="20"/>
                <w:szCs w:val="20"/>
                <w:color w:val="auto"/>
              </w:rPr>
            </w:pPr>
            <w:r>
              <w:rPr>
                <w:rFonts w:ascii="Arial" w:cs="Arial" w:eastAsia="Arial" w:hAnsi="Arial"/>
                <w:sz w:val="18"/>
                <w:szCs w:val="18"/>
                <w:color w:val="auto"/>
              </w:rPr>
              <w:t>2%</w:t>
            </w:r>
          </w:p>
        </w:tc>
        <w:tc>
          <w:tcPr>
            <w:tcW w:w="1980" w:type="dxa"/>
            <w:vAlign w:val="bottom"/>
            <w:tcBorders>
              <w:bottom w:val="single" w:sz="8" w:color="384348"/>
            </w:tcBorders>
          </w:tcPr>
          <w:p>
            <w:pPr>
              <w:spacing w:after="0"/>
              <w:rPr>
                <w:sz w:val="22"/>
                <w:szCs w:val="22"/>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Honeywell Aerospace will discuss its third quarter results and full-year 2026 guidance during an investor conference call starting at 5:00 pm EDT today. A live webcast of the investor call as well as related presentation materials will be available through the Investor Relations section of the company’s website (investor.honeywellaerospace.com). A replay of the webcast will be available for 30 days following the presentation.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Honeywell Aerospace</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Honeywell Aerospace (Nasdaq: HONA) is an independent global aerospace and defense company whose critical technologies are broadly deployed on the world’s leading commercial air transport, business aviation, defense and space platforms. These integrated solutions enable safer, more efficient, and more reliable missions. Headquartered in Phoenix, Arizona, the company employs more than 36,000 people globally and supports more than 10,000 customers. With a broad portfolio spanning avionics and navigation systems, engines and power systems, and control systems for aircraft, Honeywell Aerospace combines commitment and deep engineering expertise to drive innovation and long-term value for the aerospace industry. For more information, visit www.honeywellaerospace.com or follow Honeywell Aerospace on LinkedIn.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Honeywell Aerospace uses our Investor Relations website, investor.honeywellaerospace.com,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public conference calls, and webcasts.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We describe many of the trends and other factors that drive our business and future results in this release. These discussions contain forward-looking statements within the meaning of Section 27A of the Securities Act of 1933, as amended, and Section 21E of the Securities Exchange Act of 1934, as amended (the "Exchange Act"). Forward-looking statements are those that address activities, events, or developments that management intends, expects, projects, believes, estimates, forecasts, or anticipates will or may occur in the future. They are based on management's assumptions and assessments in light of past experience and trends, current economic and industry conditions, expected future developments, and other relevant factors, many of which are difficult to predict and outside of our control.</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Forward-looking statements are not guarantees of future performance, and actual results may differ materially from those reflected in such statements. Important factors that could cause Honeywell Aerospace's actual results to differ materially from those projected in any forward-looking statements include, but are not limited to: (i) risks relating to Honeywell Aerospace's spin-off from Honeywell International Inc., including our ability to realize the anticipated benefits of operating as an independent public company;</w:t>
      </w:r>
    </w:p>
    <w:p>
      <w:pPr>
        <w:sectPr>
          <w:pgSz w:w="11900" w:h="16838" w:orient="portrait"/>
          <w:cols w:equalWidth="0" w:num="1">
            <w:col w:w="11240"/>
          </w:cols>
          <w:pgMar w:left="320" w:top="36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Honeywell Aerospace 3Q26 Results - 4</w:t>
      </w:r>
    </w:p>
    <w:p>
      <w:pPr>
        <w:spacing w:after="0" w:line="324" w:lineRule="exact"/>
        <w:rPr>
          <w:sz w:val="20"/>
          <w:szCs w:val="20"/>
          <w:color w:val="auto"/>
        </w:rPr>
      </w:pPr>
    </w:p>
    <w:p>
      <w:pPr>
        <w:jc w:val="both"/>
        <w:ind w:firstLine="8"/>
        <w:spacing w:after="0" w:line="261" w:lineRule="auto"/>
        <w:tabs>
          <w:tab w:leader="none" w:pos="235" w:val="left"/>
        </w:tabs>
        <w:numPr>
          <w:ilvl w:val="0"/>
          <w:numId w:val="6"/>
        </w:numPr>
        <w:rPr>
          <w:rFonts w:ascii="Arial" w:cs="Arial" w:eastAsia="Arial" w:hAnsi="Arial"/>
          <w:sz w:val="16"/>
          <w:szCs w:val="16"/>
          <w:color w:val="auto"/>
        </w:rPr>
      </w:pPr>
      <w:r>
        <w:rPr>
          <w:rFonts w:ascii="Arial" w:cs="Arial" w:eastAsia="Arial" w:hAnsi="Arial"/>
          <w:sz w:val="16"/>
          <w:szCs w:val="16"/>
          <w:color w:val="auto"/>
        </w:rPr>
        <w:t>supply chain disruptions, including constraints on or changes in the price or availability of raw materials and components; (iii) our ability to successfully develop new technologies and introduce new products; (iv) our ability to compete successfully in the markets in which we operate; (v) changes in demand for our products and services, including conditions in the commercial aerospace, business aviation, and defense and space markets; (vi) changes in government spending and risks associated with our government contracts; (vii) other economic, business, competitive, regulatory, geopolitical, and market factors described in our filings with the Securities and Exchange Commission ("SEC"); (viii) the impact of tariffs, including the amount and timing of any tariff refunds; (ix) adverse outcomes of litigation matters and government and other proceedings; and (x) our ability to declare and pay dividends in future periods.</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These forward-looking statements should be considered in light of the information included in this release, our Registration Statement on Form 10-12B, as amended (File No. 001-43173), including the final Information Statement dated June 15, 2026 furnished as Exhibit 99.1 to our Current Report on Form 8-K filed on June 15, 2026, our Quarterly Reports on Form 10-Q for the quarters ended June 27, 2026 and September 26, 2026, and our other filings with the SEC. In addition, no assurance can be given that any plan, initiative, projection, goal, commitment, expectation, or prospect set forth in this release can or will be achieved. Any forward-looking plans described herein are not final and may be modified or abandoned at any time. We do not undertake to update or revise any of our forward-looking statements, except as required by applicable securities law.</w:t>
      </w:r>
    </w:p>
    <w:p>
      <w:pPr>
        <w:spacing w:after="0" w:line="2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release contains financial measures presented on a non-GAAP basis. Honeywell Aerospace’s non-GAAP financial measures used in this release are as follows: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Organic sales growth,</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Adjusted EBIT,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Pro forma standalone adjusted EBIT,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Adjusted earnings per share,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Pro forma standalone adjusted earnings per share,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Free cash flow, and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Segment adjusted EBIT.</w:t>
      </w:r>
    </w:p>
    <w:p>
      <w:pPr>
        <w:spacing w:after="0" w:line="23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Management believes that, when considered together with reported amounts, these measures are useful to investors and management in understanding our ongoing operations and in the analysis of ongoing operating trends. These measures should be considered in addition to, and not as replacements for, the most comparable GAAP measure. Certain measures presented on a non-GAAP basis represent the impact of adjusting items net of tax. The tax-effect for adjusting items is determined individually and on a case-by-case basis. Refer to the Appendix attached to this release for reconciliations of non-GAAP financial measures to the most directly comparable GAAP measures.</w:t>
      </w:r>
    </w:p>
    <w:p>
      <w:pPr>
        <w:sectPr>
          <w:pgSz w:w="11900" w:h="16838" w:orient="portrait"/>
          <w:cols w:equalWidth="0" w:num="1">
            <w:col w:w="11240"/>
          </w:cols>
          <w:pgMar w:left="320" w:top="36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Honeywell Aerospace 3Q26 Results - 5</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Honeywell Aerospace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20" w:type="dxa"/>
            <w:vAlign w:val="bottom"/>
          </w:tcPr>
          <w:p>
            <w:pPr>
              <w:spacing w:after="0"/>
              <w:rPr>
                <w:sz w:val="17"/>
                <w:szCs w:val="17"/>
                <w:color w:val="auto"/>
              </w:rPr>
            </w:pPr>
          </w:p>
        </w:tc>
        <w:tc>
          <w:tcPr>
            <w:tcW w:w="440" w:type="dxa"/>
            <w:vAlign w:val="bottom"/>
            <w:tcBorders>
              <w:bottom w:val="single" w:sz="8" w:color="FF4400"/>
            </w:tcBorders>
          </w:tcPr>
          <w:p>
            <w:pPr>
              <w:spacing w:after="0"/>
              <w:rPr>
                <w:sz w:val="17"/>
                <w:szCs w:val="17"/>
                <w:color w:val="auto"/>
              </w:rPr>
            </w:pPr>
          </w:p>
        </w:tc>
        <w:tc>
          <w:tcPr>
            <w:tcW w:w="1860" w:type="dxa"/>
            <w:vAlign w:val="bottom"/>
            <w:tcBorders>
              <w:bottom w:val="single" w:sz="8" w:color="FF4400"/>
            </w:tcBorders>
            <w:gridSpan w:val="2"/>
          </w:tcPr>
          <w:p>
            <w:pPr>
              <w:jc w:val="right"/>
              <w:ind w:right="34"/>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Borders>
              <w:bottom w:val="single" w:sz="8" w:color="FF4400"/>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FF4400"/>
            </w:tcBorders>
          </w:tcPr>
          <w:p>
            <w:pPr>
              <w:spacing w:after="0"/>
              <w:rPr>
                <w:sz w:val="17"/>
                <w:szCs w:val="17"/>
                <w:color w:val="auto"/>
              </w:rPr>
            </w:pPr>
          </w:p>
        </w:tc>
        <w:tc>
          <w:tcPr>
            <w:tcW w:w="1760" w:type="dxa"/>
            <w:vAlign w:val="bottom"/>
            <w:tcBorders>
              <w:bottom w:val="single" w:sz="8" w:color="FF4400"/>
            </w:tcBorders>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Borders>
              <w:bottom w:val="single" w:sz="8" w:color="FF4400"/>
            </w:tcBorders>
          </w:tcPr>
          <w:p>
            <w:pPr>
              <w:spacing w:after="0"/>
              <w:rPr>
                <w:sz w:val="17"/>
                <w:szCs w:val="17"/>
                <w:color w:val="auto"/>
              </w:rPr>
            </w:pPr>
          </w:p>
        </w:tc>
      </w:tr>
      <w:tr>
        <w:trPr>
          <w:trHeight w:val="196"/>
        </w:trPr>
        <w:tc>
          <w:tcPr>
            <w:tcW w:w="5220" w:type="dxa"/>
            <w:vAlign w:val="bottom"/>
            <w:tcBorders>
              <w:bottom w:val="single" w:sz="8" w:color="FF4400"/>
            </w:tcBorders>
          </w:tcPr>
          <w:p>
            <w:pPr>
              <w:spacing w:after="0"/>
              <w:rPr>
                <w:sz w:val="17"/>
                <w:szCs w:val="17"/>
                <w:color w:val="auto"/>
              </w:rPr>
            </w:pPr>
          </w:p>
        </w:tc>
        <w:tc>
          <w:tcPr>
            <w:tcW w:w="1480" w:type="dxa"/>
            <w:vAlign w:val="bottom"/>
            <w:tcBorders>
              <w:bottom w:val="single" w:sz="8" w:color="FF4400"/>
            </w:tcBorders>
            <w:gridSpan w:val="2"/>
          </w:tcPr>
          <w:p>
            <w:pPr>
              <w:jc w:val="right"/>
              <w:ind w:right="11"/>
              <w:spacing w:after="0"/>
              <w:rPr>
                <w:sz w:val="20"/>
                <w:szCs w:val="20"/>
                <w:color w:val="auto"/>
              </w:rPr>
            </w:pPr>
            <w:r>
              <w:rPr>
                <w:rFonts w:ascii="Arial" w:cs="Arial" w:eastAsia="Arial" w:hAnsi="Arial"/>
                <w:sz w:val="14"/>
                <w:szCs w:val="14"/>
                <w:b w:val="1"/>
                <w:bCs w:val="1"/>
                <w:color w:val="auto"/>
              </w:rPr>
              <w:t>September 26, 2026</w:t>
            </w:r>
          </w:p>
        </w:tc>
        <w:tc>
          <w:tcPr>
            <w:tcW w:w="1560" w:type="dxa"/>
            <w:vAlign w:val="bottom"/>
            <w:tcBorders>
              <w:bottom w:val="single" w:sz="8" w:color="FF4400"/>
            </w:tcBorders>
            <w:gridSpan w:val="3"/>
          </w:tcPr>
          <w:p>
            <w:pPr>
              <w:ind w:left="80"/>
              <w:spacing w:after="0"/>
              <w:rPr>
                <w:sz w:val="20"/>
                <w:szCs w:val="20"/>
                <w:color w:val="auto"/>
              </w:rPr>
            </w:pPr>
            <w:r>
              <w:rPr>
                <w:rFonts w:ascii="Arial" w:cs="Arial" w:eastAsia="Arial" w:hAnsi="Arial"/>
                <w:sz w:val="14"/>
                <w:szCs w:val="14"/>
                <w:b w:val="1"/>
                <w:bCs w:val="1"/>
                <w:color w:val="auto"/>
              </w:rPr>
              <w:t>September 27, 2025</w:t>
            </w:r>
          </w:p>
        </w:tc>
        <w:tc>
          <w:tcPr>
            <w:tcW w:w="1480" w:type="dxa"/>
            <w:vAlign w:val="bottom"/>
            <w:tcBorders>
              <w:bottom w:val="single" w:sz="8" w:color="FF4400"/>
            </w:tcBorders>
            <w:gridSpan w:val="2"/>
          </w:tcPr>
          <w:p>
            <w:pPr>
              <w:jc w:val="right"/>
              <w:spacing w:after="0"/>
              <w:rPr>
                <w:sz w:val="20"/>
                <w:szCs w:val="20"/>
                <w:color w:val="auto"/>
              </w:rPr>
            </w:pPr>
            <w:r>
              <w:rPr>
                <w:rFonts w:ascii="Arial" w:cs="Arial" w:eastAsia="Arial" w:hAnsi="Arial"/>
                <w:sz w:val="14"/>
                <w:szCs w:val="14"/>
                <w:b w:val="1"/>
                <w:bCs w:val="1"/>
                <w:color w:val="auto"/>
              </w:rPr>
              <w:t>September 26, 2026</w:t>
            </w:r>
          </w:p>
        </w:tc>
        <w:tc>
          <w:tcPr>
            <w:tcW w:w="1480" w:type="dxa"/>
            <w:vAlign w:val="bottom"/>
            <w:tcBorders>
              <w:bottom w:val="single" w:sz="8" w:color="FF4400"/>
            </w:tcBorders>
            <w:gridSpan w:val="2"/>
          </w:tcPr>
          <w:p>
            <w:pPr>
              <w:jc w:val="right"/>
              <w:spacing w:after="0"/>
              <w:rPr>
                <w:sz w:val="20"/>
                <w:szCs w:val="20"/>
                <w:color w:val="auto"/>
              </w:rPr>
            </w:pPr>
            <w:r>
              <w:rPr>
                <w:rFonts w:ascii="Arial" w:cs="Arial" w:eastAsia="Arial" w:hAnsi="Arial"/>
                <w:sz w:val="14"/>
                <w:szCs w:val="14"/>
                <w:b w:val="1"/>
                <w:bCs w:val="1"/>
                <w:color w:val="auto"/>
              </w:rPr>
              <w:t>September 27, 2025</w:t>
            </w:r>
          </w:p>
        </w:tc>
      </w:tr>
      <w:tr>
        <w:trPr>
          <w:trHeight w:val="224"/>
        </w:trPr>
        <w:tc>
          <w:tcPr>
            <w:tcW w:w="522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Product sales</w:t>
            </w:r>
          </w:p>
        </w:tc>
        <w:tc>
          <w:tcPr>
            <w:tcW w:w="440" w:type="dxa"/>
            <w:vAlign w:val="bottom"/>
            <w:tcBorders>
              <w:bottom w:val="single" w:sz="8" w:color="BFBFBF"/>
            </w:tcBorders>
          </w:tcPr>
          <w:p>
            <w:pPr>
              <w:jc w:val="right"/>
              <w:ind w:right="23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2,690</w:t>
            </w:r>
          </w:p>
        </w:tc>
        <w:tc>
          <w:tcPr>
            <w:tcW w:w="820" w:type="dxa"/>
            <w:vAlign w:val="bottom"/>
            <w:tcBorders>
              <w:bottom w:val="single" w:sz="8" w:color="BFBFBF"/>
            </w:tcBorders>
          </w:tcPr>
          <w:p>
            <w:pPr>
              <w:jc w:val="right"/>
              <w:ind w:right="574"/>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2,533</w:t>
            </w:r>
          </w:p>
        </w:tc>
        <w:tc>
          <w:tcPr>
            <w:tcW w:w="80" w:type="dxa"/>
            <w:vAlign w:val="bottom"/>
            <w:tcBorders>
              <w:bottom w:val="single" w:sz="8" w:color="BFBFBF"/>
            </w:tcBorders>
          </w:tcPr>
          <w:p>
            <w:pPr>
              <w:spacing w:after="0"/>
              <w:rPr>
                <w:sz w:val="19"/>
                <w:szCs w:val="19"/>
                <w:color w:val="auto"/>
              </w:rPr>
            </w:pPr>
          </w:p>
        </w:tc>
        <w:tc>
          <w:tcPr>
            <w:tcW w:w="480" w:type="dxa"/>
            <w:vAlign w:val="bottom"/>
            <w:tcBorders>
              <w:bottom w:val="single" w:sz="8" w:color="BFBFBF"/>
            </w:tcBorders>
          </w:tcPr>
          <w:p>
            <w:pPr>
              <w:jc w:val="right"/>
              <w:ind w:right="274"/>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7,723</w:t>
            </w:r>
          </w:p>
        </w:tc>
        <w:tc>
          <w:tcPr>
            <w:tcW w:w="760" w:type="dxa"/>
            <w:vAlign w:val="bottom"/>
            <w:tcBorders>
              <w:bottom w:val="single" w:sz="8" w:color="BFBFBF"/>
            </w:tcBorders>
          </w:tcPr>
          <w:p>
            <w:pPr>
              <w:jc w:val="right"/>
              <w:ind w:right="49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7,191</w:t>
            </w:r>
          </w:p>
        </w:tc>
      </w:tr>
      <w:tr>
        <w:trPr>
          <w:trHeight w:val="223"/>
        </w:trPr>
        <w:tc>
          <w:tcPr>
            <w:tcW w:w="5220" w:type="dxa"/>
            <w:vAlign w:val="bottom"/>
            <w:tcBorders>
              <w:bottom w:val="single" w:sz="8" w:color="384348"/>
            </w:tcBorders>
          </w:tcPr>
          <w:p>
            <w:pPr>
              <w:ind w:left="240"/>
              <w:spacing w:after="0"/>
              <w:rPr>
                <w:sz w:val="20"/>
                <w:szCs w:val="20"/>
                <w:color w:val="auto"/>
              </w:rPr>
            </w:pPr>
            <w:r>
              <w:rPr>
                <w:rFonts w:ascii="Arial" w:cs="Arial" w:eastAsia="Arial" w:hAnsi="Arial"/>
                <w:sz w:val="18"/>
                <w:szCs w:val="18"/>
                <w:color w:val="auto"/>
              </w:rPr>
              <w:t>Service sales</w:t>
            </w:r>
          </w:p>
        </w:tc>
        <w:tc>
          <w:tcPr>
            <w:tcW w:w="440" w:type="dxa"/>
            <w:vAlign w:val="bottom"/>
            <w:tcBorders>
              <w:bottom w:val="single" w:sz="8" w:color="384348"/>
            </w:tcBorders>
          </w:tcPr>
          <w:p>
            <w:pPr>
              <w:spacing w:after="0"/>
              <w:rPr>
                <w:sz w:val="19"/>
                <w:szCs w:val="19"/>
                <w:color w:val="auto"/>
              </w:rPr>
            </w:pPr>
          </w:p>
        </w:tc>
        <w:tc>
          <w:tcPr>
            <w:tcW w:w="104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color w:val="auto"/>
              </w:rPr>
              <w:t>1,954</w:t>
            </w:r>
          </w:p>
        </w:tc>
        <w:tc>
          <w:tcPr>
            <w:tcW w:w="820" w:type="dxa"/>
            <w:vAlign w:val="bottom"/>
            <w:tcBorders>
              <w:bottom w:val="single" w:sz="8" w:color="384348"/>
            </w:tcBorders>
          </w:tcPr>
          <w:p>
            <w:pPr>
              <w:spacing w:after="0"/>
              <w:rPr>
                <w:sz w:val="19"/>
                <w:szCs w:val="19"/>
                <w:color w:val="auto"/>
              </w:rPr>
            </w:pPr>
          </w:p>
        </w:tc>
        <w:tc>
          <w:tcPr>
            <w:tcW w:w="66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Borders>
              <w:bottom w:val="single" w:sz="8" w:color="384348"/>
            </w:tcBorders>
          </w:tcPr>
          <w:p>
            <w:pPr>
              <w:spacing w:after="0"/>
              <w:rPr>
                <w:sz w:val="19"/>
                <w:szCs w:val="19"/>
                <w:color w:val="auto"/>
              </w:rPr>
            </w:pPr>
          </w:p>
        </w:tc>
        <w:tc>
          <w:tcPr>
            <w:tcW w:w="480" w:type="dxa"/>
            <w:vAlign w:val="bottom"/>
            <w:tcBorders>
              <w:bottom w:val="single" w:sz="8" w:color="384348"/>
            </w:tcBorders>
          </w:tcPr>
          <w:p>
            <w:pPr>
              <w:spacing w:after="0"/>
              <w:rPr>
                <w:sz w:val="19"/>
                <w:szCs w:val="19"/>
                <w:color w:val="auto"/>
              </w:rPr>
            </w:pPr>
          </w:p>
        </w:tc>
        <w:tc>
          <w:tcPr>
            <w:tcW w:w="10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color w:val="auto"/>
              </w:rPr>
              <w:t>5,795</w:t>
            </w:r>
          </w:p>
        </w:tc>
        <w:tc>
          <w:tcPr>
            <w:tcW w:w="760" w:type="dxa"/>
            <w:vAlign w:val="bottom"/>
            <w:tcBorders>
              <w:bottom w:val="single" w:sz="8" w:color="384348"/>
            </w:tcBorders>
          </w:tcPr>
          <w:p>
            <w:pPr>
              <w:spacing w:after="0"/>
              <w:rPr>
                <w:sz w:val="19"/>
                <w:szCs w:val="19"/>
                <w:color w:val="auto"/>
              </w:rPr>
            </w:pPr>
          </w:p>
        </w:tc>
        <w:tc>
          <w:tcPr>
            <w:tcW w:w="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5,705</w:t>
            </w:r>
          </w:p>
        </w:tc>
      </w:tr>
      <w:tr>
        <w:trPr>
          <w:trHeight w:val="223"/>
        </w:trPr>
        <w:tc>
          <w:tcPr>
            <w:tcW w:w="522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Net sales</w:t>
            </w:r>
          </w:p>
        </w:tc>
        <w:tc>
          <w:tcPr>
            <w:tcW w:w="440" w:type="dxa"/>
            <w:vAlign w:val="bottom"/>
            <w:tcBorders>
              <w:bottom w:val="single" w:sz="8" w:color="384348"/>
            </w:tcBorders>
          </w:tcPr>
          <w:p>
            <w:pPr>
              <w:spacing w:after="0"/>
              <w:rPr>
                <w:sz w:val="19"/>
                <w:szCs w:val="19"/>
                <w:color w:val="auto"/>
              </w:rPr>
            </w:pPr>
          </w:p>
        </w:tc>
        <w:tc>
          <w:tcPr>
            <w:tcW w:w="104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b w:val="1"/>
                <w:bCs w:val="1"/>
                <w:color w:val="auto"/>
              </w:rPr>
              <w:t>4,644</w:t>
            </w:r>
          </w:p>
        </w:tc>
        <w:tc>
          <w:tcPr>
            <w:tcW w:w="820" w:type="dxa"/>
            <w:vAlign w:val="bottom"/>
            <w:tcBorders>
              <w:bottom w:val="single" w:sz="8" w:color="384348"/>
            </w:tcBorders>
          </w:tcPr>
          <w:p>
            <w:pPr>
              <w:spacing w:after="0"/>
              <w:rPr>
                <w:sz w:val="19"/>
                <w:szCs w:val="19"/>
                <w:color w:val="auto"/>
              </w:rPr>
            </w:pPr>
          </w:p>
        </w:tc>
        <w:tc>
          <w:tcPr>
            <w:tcW w:w="6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4,533</w:t>
            </w:r>
          </w:p>
        </w:tc>
        <w:tc>
          <w:tcPr>
            <w:tcW w:w="80" w:type="dxa"/>
            <w:vAlign w:val="bottom"/>
            <w:tcBorders>
              <w:bottom w:val="single" w:sz="8" w:color="384348"/>
            </w:tcBorders>
          </w:tcPr>
          <w:p>
            <w:pPr>
              <w:spacing w:after="0"/>
              <w:rPr>
                <w:sz w:val="19"/>
                <w:szCs w:val="19"/>
                <w:color w:val="auto"/>
              </w:rPr>
            </w:pPr>
          </w:p>
        </w:tc>
        <w:tc>
          <w:tcPr>
            <w:tcW w:w="480" w:type="dxa"/>
            <w:vAlign w:val="bottom"/>
            <w:tcBorders>
              <w:bottom w:val="single" w:sz="8" w:color="384348"/>
            </w:tcBorders>
          </w:tcPr>
          <w:p>
            <w:pPr>
              <w:spacing w:after="0"/>
              <w:rPr>
                <w:sz w:val="19"/>
                <w:szCs w:val="19"/>
                <w:color w:val="auto"/>
              </w:rPr>
            </w:pPr>
          </w:p>
        </w:tc>
        <w:tc>
          <w:tcPr>
            <w:tcW w:w="10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b w:val="1"/>
                <w:bCs w:val="1"/>
                <w:color w:val="auto"/>
              </w:rPr>
              <w:t>13,518</w:t>
            </w:r>
          </w:p>
        </w:tc>
        <w:tc>
          <w:tcPr>
            <w:tcW w:w="760" w:type="dxa"/>
            <w:vAlign w:val="bottom"/>
            <w:tcBorders>
              <w:bottom w:val="single" w:sz="8" w:color="384348"/>
            </w:tcBorders>
          </w:tcPr>
          <w:p>
            <w:pPr>
              <w:spacing w:after="0"/>
              <w:rPr>
                <w:sz w:val="19"/>
                <w:szCs w:val="19"/>
                <w:color w:val="auto"/>
              </w:rPr>
            </w:pPr>
          </w:p>
        </w:tc>
        <w:tc>
          <w:tcPr>
            <w:tcW w:w="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12,896</w:t>
            </w:r>
          </w:p>
        </w:tc>
      </w:tr>
      <w:tr>
        <w:trPr>
          <w:trHeight w:val="223"/>
        </w:trPr>
        <w:tc>
          <w:tcPr>
            <w:tcW w:w="52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Costs, expenses and other</w:t>
            </w:r>
          </w:p>
        </w:tc>
        <w:tc>
          <w:tcPr>
            <w:tcW w:w="440" w:type="dxa"/>
            <w:vAlign w:val="bottom"/>
            <w:tcBorders>
              <w:bottom w:val="single" w:sz="8" w:color="BFBFBF"/>
            </w:tcBorders>
          </w:tcPr>
          <w:p>
            <w:pPr>
              <w:spacing w:after="0"/>
              <w:rPr>
                <w:sz w:val="19"/>
                <w:szCs w:val="19"/>
                <w:color w:val="auto"/>
              </w:rPr>
            </w:pPr>
          </w:p>
        </w:tc>
        <w:tc>
          <w:tcPr>
            <w:tcW w:w="1040" w:type="dxa"/>
            <w:vAlign w:val="bottom"/>
            <w:tcBorders>
              <w:bottom w:val="single" w:sz="8" w:color="BFBFBF"/>
            </w:tcBorders>
          </w:tcPr>
          <w:p>
            <w:pPr>
              <w:spacing w:after="0"/>
              <w:rPr>
                <w:sz w:val="19"/>
                <w:szCs w:val="19"/>
                <w:color w:val="auto"/>
              </w:rPr>
            </w:pPr>
          </w:p>
        </w:tc>
        <w:tc>
          <w:tcPr>
            <w:tcW w:w="820" w:type="dxa"/>
            <w:vAlign w:val="bottom"/>
            <w:tcBorders>
              <w:bottom w:val="single" w:sz="8" w:color="BFBFBF"/>
            </w:tcBorders>
          </w:tcPr>
          <w:p>
            <w:pPr>
              <w:spacing w:after="0"/>
              <w:rPr>
                <w:sz w:val="19"/>
                <w:szCs w:val="19"/>
                <w:color w:val="auto"/>
              </w:rPr>
            </w:pPr>
          </w:p>
        </w:tc>
        <w:tc>
          <w:tcPr>
            <w:tcW w:w="660" w:type="dxa"/>
            <w:vAlign w:val="bottom"/>
            <w:tcBorders>
              <w:bottom w:val="single" w:sz="8" w:color="BFBFBF"/>
            </w:tcBorders>
          </w:tcPr>
          <w:p>
            <w:pPr>
              <w:spacing w:after="0"/>
              <w:rPr>
                <w:sz w:val="19"/>
                <w:szCs w:val="19"/>
                <w:color w:val="auto"/>
              </w:rPr>
            </w:pPr>
          </w:p>
        </w:tc>
        <w:tc>
          <w:tcPr>
            <w:tcW w:w="80" w:type="dxa"/>
            <w:vAlign w:val="bottom"/>
            <w:tcBorders>
              <w:bottom w:val="single" w:sz="8" w:color="BFBFBF"/>
            </w:tcBorders>
          </w:tcPr>
          <w:p>
            <w:pPr>
              <w:spacing w:after="0"/>
              <w:rPr>
                <w:sz w:val="19"/>
                <w:szCs w:val="19"/>
                <w:color w:val="auto"/>
              </w:rPr>
            </w:pPr>
          </w:p>
        </w:tc>
        <w:tc>
          <w:tcPr>
            <w:tcW w:w="480" w:type="dxa"/>
            <w:vAlign w:val="bottom"/>
            <w:tcBorders>
              <w:bottom w:val="single" w:sz="8" w:color="BFBFBF"/>
            </w:tcBorders>
          </w:tcPr>
          <w:p>
            <w:pPr>
              <w:spacing w:after="0"/>
              <w:rPr>
                <w:sz w:val="19"/>
                <w:szCs w:val="19"/>
                <w:color w:val="auto"/>
              </w:rPr>
            </w:pPr>
          </w:p>
        </w:tc>
        <w:tc>
          <w:tcPr>
            <w:tcW w:w="1000" w:type="dxa"/>
            <w:vAlign w:val="bottom"/>
            <w:tcBorders>
              <w:bottom w:val="single" w:sz="8" w:color="BFBFBF"/>
            </w:tcBorders>
          </w:tcPr>
          <w:p>
            <w:pPr>
              <w:spacing w:after="0"/>
              <w:rPr>
                <w:sz w:val="19"/>
                <w:szCs w:val="19"/>
                <w:color w:val="auto"/>
              </w:rPr>
            </w:pPr>
          </w:p>
        </w:tc>
        <w:tc>
          <w:tcPr>
            <w:tcW w:w="760" w:type="dxa"/>
            <w:vAlign w:val="bottom"/>
            <w:tcBorders>
              <w:bottom w:val="single" w:sz="8" w:color="BFBFBF"/>
            </w:tcBorders>
          </w:tcPr>
          <w:p>
            <w:pPr>
              <w:spacing w:after="0"/>
              <w:rPr>
                <w:sz w:val="19"/>
                <w:szCs w:val="19"/>
                <w:color w:val="auto"/>
              </w:rPr>
            </w:pPr>
          </w:p>
        </w:tc>
        <w:tc>
          <w:tcPr>
            <w:tcW w:w="720" w:type="dxa"/>
            <w:vAlign w:val="bottom"/>
            <w:tcBorders>
              <w:bottom w:val="single" w:sz="8" w:color="BFBFBF"/>
            </w:tcBorders>
          </w:tcPr>
          <w:p>
            <w:pPr>
              <w:spacing w:after="0"/>
              <w:rPr>
                <w:sz w:val="19"/>
                <w:szCs w:val="19"/>
                <w:color w:val="auto"/>
              </w:rPr>
            </w:pPr>
          </w:p>
        </w:tc>
      </w:tr>
      <w:tr>
        <w:trPr>
          <w:trHeight w:val="223"/>
        </w:trPr>
        <w:tc>
          <w:tcPr>
            <w:tcW w:w="5220" w:type="dxa"/>
            <w:vAlign w:val="bottom"/>
            <w:tcBorders>
              <w:bottom w:val="single" w:sz="8" w:color="BFBFBF"/>
            </w:tcBorders>
          </w:tcPr>
          <w:p>
            <w:pPr>
              <w:ind w:left="360"/>
              <w:spacing w:after="0"/>
              <w:rPr>
                <w:sz w:val="20"/>
                <w:szCs w:val="20"/>
                <w:color w:val="auto"/>
              </w:rPr>
            </w:pPr>
            <w:r>
              <w:rPr>
                <w:rFonts w:ascii="Arial" w:cs="Arial" w:eastAsia="Arial" w:hAnsi="Arial"/>
                <w:sz w:val="18"/>
                <w:szCs w:val="18"/>
                <w:color w:val="auto"/>
              </w:rPr>
              <w:t>Cost of products sold</w:t>
            </w:r>
          </w:p>
        </w:tc>
        <w:tc>
          <w:tcPr>
            <w:tcW w:w="440" w:type="dxa"/>
            <w:vAlign w:val="bottom"/>
            <w:tcBorders>
              <w:bottom w:val="single" w:sz="8" w:color="BFBFBF"/>
            </w:tcBorders>
          </w:tcPr>
          <w:p>
            <w:pPr>
              <w:spacing w:after="0"/>
              <w:rPr>
                <w:sz w:val="19"/>
                <w:szCs w:val="19"/>
                <w:color w:val="auto"/>
              </w:rPr>
            </w:pPr>
          </w:p>
        </w:tc>
        <w:tc>
          <w:tcPr>
            <w:tcW w:w="104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1,985</w:t>
            </w:r>
          </w:p>
        </w:tc>
        <w:tc>
          <w:tcPr>
            <w:tcW w:w="820" w:type="dxa"/>
            <w:vAlign w:val="bottom"/>
            <w:tcBorders>
              <w:bottom w:val="single" w:sz="8" w:color="BFBFBF"/>
            </w:tcBorders>
          </w:tcPr>
          <w:p>
            <w:pPr>
              <w:spacing w:after="0"/>
              <w:rPr>
                <w:sz w:val="19"/>
                <w:szCs w:val="19"/>
                <w:color w:val="auto"/>
              </w:rPr>
            </w:pPr>
          </w:p>
        </w:tc>
        <w:tc>
          <w:tcPr>
            <w:tcW w:w="6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1,950</w:t>
            </w:r>
          </w:p>
        </w:tc>
        <w:tc>
          <w:tcPr>
            <w:tcW w:w="80" w:type="dxa"/>
            <w:vAlign w:val="bottom"/>
            <w:tcBorders>
              <w:bottom w:val="single" w:sz="8" w:color="BFBFBF"/>
            </w:tcBorders>
          </w:tcPr>
          <w:p>
            <w:pPr>
              <w:spacing w:after="0"/>
              <w:rPr>
                <w:sz w:val="19"/>
                <w:szCs w:val="19"/>
                <w:color w:val="auto"/>
              </w:rPr>
            </w:pPr>
          </w:p>
        </w:tc>
        <w:tc>
          <w:tcPr>
            <w:tcW w:w="480" w:type="dxa"/>
            <w:vAlign w:val="bottom"/>
            <w:tcBorders>
              <w:bottom w:val="single" w:sz="8" w:color="BFBFBF"/>
            </w:tcBorders>
          </w:tcPr>
          <w:p>
            <w:pPr>
              <w:spacing w:after="0"/>
              <w:rPr>
                <w:sz w:val="19"/>
                <w:szCs w:val="19"/>
                <w:color w:val="auto"/>
              </w:rPr>
            </w:pPr>
          </w:p>
        </w:tc>
        <w:tc>
          <w:tcPr>
            <w:tcW w:w="100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5,805</w:t>
            </w:r>
          </w:p>
        </w:tc>
        <w:tc>
          <w:tcPr>
            <w:tcW w:w="760" w:type="dxa"/>
            <w:vAlign w:val="bottom"/>
            <w:tcBorders>
              <w:bottom w:val="single" w:sz="8" w:color="BFBFBF"/>
            </w:tcBorders>
          </w:tcPr>
          <w:p>
            <w:pPr>
              <w:spacing w:after="0"/>
              <w:rPr>
                <w:sz w:val="19"/>
                <w:szCs w:val="19"/>
                <w:color w:val="auto"/>
              </w:rPr>
            </w:pPr>
          </w:p>
        </w:tc>
        <w:tc>
          <w:tcPr>
            <w:tcW w:w="7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5,422</w:t>
            </w:r>
          </w:p>
        </w:tc>
      </w:tr>
      <w:tr>
        <w:trPr>
          <w:trHeight w:val="223"/>
        </w:trPr>
        <w:tc>
          <w:tcPr>
            <w:tcW w:w="5220" w:type="dxa"/>
            <w:vAlign w:val="bottom"/>
            <w:tcBorders>
              <w:bottom w:val="single" w:sz="8" w:color="384348"/>
            </w:tcBorders>
          </w:tcPr>
          <w:p>
            <w:pPr>
              <w:ind w:left="360"/>
              <w:spacing w:after="0"/>
              <w:rPr>
                <w:sz w:val="20"/>
                <w:szCs w:val="20"/>
                <w:color w:val="auto"/>
              </w:rPr>
            </w:pPr>
            <w:r>
              <w:rPr>
                <w:rFonts w:ascii="Arial" w:cs="Arial" w:eastAsia="Arial" w:hAnsi="Arial"/>
                <w:sz w:val="18"/>
                <w:szCs w:val="18"/>
                <w:color w:val="auto"/>
              </w:rPr>
              <w:t>Cost of services sold</w:t>
            </w:r>
          </w:p>
        </w:tc>
        <w:tc>
          <w:tcPr>
            <w:tcW w:w="440" w:type="dxa"/>
            <w:vAlign w:val="bottom"/>
            <w:tcBorders>
              <w:bottom w:val="single" w:sz="8" w:color="384348"/>
            </w:tcBorders>
          </w:tcPr>
          <w:p>
            <w:pPr>
              <w:spacing w:after="0"/>
              <w:rPr>
                <w:sz w:val="19"/>
                <w:szCs w:val="19"/>
                <w:color w:val="auto"/>
              </w:rPr>
            </w:pPr>
          </w:p>
        </w:tc>
        <w:tc>
          <w:tcPr>
            <w:tcW w:w="104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color w:val="auto"/>
              </w:rPr>
              <w:t>944</w:t>
            </w:r>
          </w:p>
        </w:tc>
        <w:tc>
          <w:tcPr>
            <w:tcW w:w="820" w:type="dxa"/>
            <w:vAlign w:val="bottom"/>
            <w:tcBorders>
              <w:bottom w:val="single" w:sz="8" w:color="384348"/>
            </w:tcBorders>
          </w:tcPr>
          <w:p>
            <w:pPr>
              <w:spacing w:after="0"/>
              <w:rPr>
                <w:sz w:val="19"/>
                <w:szCs w:val="19"/>
                <w:color w:val="auto"/>
              </w:rPr>
            </w:pPr>
          </w:p>
        </w:tc>
        <w:tc>
          <w:tcPr>
            <w:tcW w:w="66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926</w:t>
            </w:r>
          </w:p>
        </w:tc>
        <w:tc>
          <w:tcPr>
            <w:tcW w:w="80" w:type="dxa"/>
            <w:vAlign w:val="bottom"/>
            <w:tcBorders>
              <w:bottom w:val="single" w:sz="8" w:color="384348"/>
            </w:tcBorders>
          </w:tcPr>
          <w:p>
            <w:pPr>
              <w:spacing w:after="0"/>
              <w:rPr>
                <w:sz w:val="19"/>
                <w:szCs w:val="19"/>
                <w:color w:val="auto"/>
              </w:rPr>
            </w:pPr>
          </w:p>
        </w:tc>
        <w:tc>
          <w:tcPr>
            <w:tcW w:w="480" w:type="dxa"/>
            <w:vAlign w:val="bottom"/>
            <w:tcBorders>
              <w:bottom w:val="single" w:sz="8" w:color="384348"/>
            </w:tcBorders>
          </w:tcPr>
          <w:p>
            <w:pPr>
              <w:spacing w:after="0"/>
              <w:rPr>
                <w:sz w:val="19"/>
                <w:szCs w:val="19"/>
                <w:color w:val="auto"/>
              </w:rPr>
            </w:pPr>
          </w:p>
        </w:tc>
        <w:tc>
          <w:tcPr>
            <w:tcW w:w="10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color w:val="auto"/>
              </w:rPr>
              <w:t>2,787</w:t>
            </w:r>
          </w:p>
        </w:tc>
        <w:tc>
          <w:tcPr>
            <w:tcW w:w="760" w:type="dxa"/>
            <w:vAlign w:val="bottom"/>
            <w:tcBorders>
              <w:bottom w:val="single" w:sz="8" w:color="384348"/>
            </w:tcBorders>
          </w:tcPr>
          <w:p>
            <w:pPr>
              <w:spacing w:after="0"/>
              <w:rPr>
                <w:sz w:val="19"/>
                <w:szCs w:val="19"/>
                <w:color w:val="auto"/>
              </w:rPr>
            </w:pPr>
          </w:p>
        </w:tc>
        <w:tc>
          <w:tcPr>
            <w:tcW w:w="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2,730</w:t>
            </w:r>
          </w:p>
        </w:tc>
      </w:tr>
      <w:tr>
        <w:trPr>
          <w:trHeight w:val="223"/>
        </w:trPr>
        <w:tc>
          <w:tcPr>
            <w:tcW w:w="5220" w:type="dxa"/>
            <w:vAlign w:val="bottom"/>
            <w:tcBorders>
              <w:bottom w:val="single" w:sz="8" w:color="384348"/>
            </w:tcBorders>
          </w:tcPr>
          <w:p>
            <w:pPr>
              <w:ind w:left="240"/>
              <w:spacing w:after="0"/>
              <w:rPr>
                <w:sz w:val="20"/>
                <w:szCs w:val="20"/>
                <w:color w:val="auto"/>
              </w:rPr>
            </w:pPr>
            <w:r>
              <w:rPr>
                <w:rFonts w:ascii="Arial" w:cs="Arial" w:eastAsia="Arial" w:hAnsi="Arial"/>
                <w:sz w:val="18"/>
                <w:szCs w:val="18"/>
                <w:b w:val="1"/>
                <w:bCs w:val="1"/>
                <w:color w:val="auto"/>
              </w:rPr>
              <w:t>Total cost of products and services sold</w:t>
            </w:r>
          </w:p>
        </w:tc>
        <w:tc>
          <w:tcPr>
            <w:tcW w:w="440" w:type="dxa"/>
            <w:vAlign w:val="bottom"/>
            <w:tcBorders>
              <w:bottom w:val="single" w:sz="8" w:color="384348"/>
            </w:tcBorders>
          </w:tcPr>
          <w:p>
            <w:pPr>
              <w:spacing w:after="0"/>
              <w:rPr>
                <w:sz w:val="19"/>
                <w:szCs w:val="19"/>
                <w:color w:val="auto"/>
              </w:rPr>
            </w:pPr>
          </w:p>
        </w:tc>
        <w:tc>
          <w:tcPr>
            <w:tcW w:w="104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b w:val="1"/>
                <w:bCs w:val="1"/>
                <w:color w:val="auto"/>
              </w:rPr>
              <w:t>2,929</w:t>
            </w:r>
          </w:p>
        </w:tc>
        <w:tc>
          <w:tcPr>
            <w:tcW w:w="820" w:type="dxa"/>
            <w:vAlign w:val="bottom"/>
            <w:tcBorders>
              <w:bottom w:val="single" w:sz="8" w:color="384348"/>
            </w:tcBorders>
          </w:tcPr>
          <w:p>
            <w:pPr>
              <w:spacing w:after="0"/>
              <w:rPr>
                <w:sz w:val="19"/>
                <w:szCs w:val="19"/>
                <w:color w:val="auto"/>
              </w:rPr>
            </w:pPr>
          </w:p>
        </w:tc>
        <w:tc>
          <w:tcPr>
            <w:tcW w:w="6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2,876</w:t>
            </w:r>
          </w:p>
        </w:tc>
        <w:tc>
          <w:tcPr>
            <w:tcW w:w="80" w:type="dxa"/>
            <w:vAlign w:val="bottom"/>
            <w:tcBorders>
              <w:bottom w:val="single" w:sz="8" w:color="384348"/>
            </w:tcBorders>
          </w:tcPr>
          <w:p>
            <w:pPr>
              <w:spacing w:after="0"/>
              <w:rPr>
                <w:sz w:val="19"/>
                <w:szCs w:val="19"/>
                <w:color w:val="auto"/>
              </w:rPr>
            </w:pPr>
          </w:p>
        </w:tc>
        <w:tc>
          <w:tcPr>
            <w:tcW w:w="480" w:type="dxa"/>
            <w:vAlign w:val="bottom"/>
            <w:tcBorders>
              <w:bottom w:val="single" w:sz="8" w:color="384348"/>
            </w:tcBorders>
          </w:tcPr>
          <w:p>
            <w:pPr>
              <w:spacing w:after="0"/>
              <w:rPr>
                <w:sz w:val="19"/>
                <w:szCs w:val="19"/>
                <w:color w:val="auto"/>
              </w:rPr>
            </w:pPr>
          </w:p>
        </w:tc>
        <w:tc>
          <w:tcPr>
            <w:tcW w:w="10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b w:val="1"/>
                <w:bCs w:val="1"/>
                <w:color w:val="auto"/>
              </w:rPr>
              <w:t>8,592</w:t>
            </w:r>
          </w:p>
        </w:tc>
        <w:tc>
          <w:tcPr>
            <w:tcW w:w="760" w:type="dxa"/>
            <w:vAlign w:val="bottom"/>
            <w:tcBorders>
              <w:bottom w:val="single" w:sz="8" w:color="384348"/>
            </w:tcBorders>
          </w:tcPr>
          <w:p>
            <w:pPr>
              <w:spacing w:after="0"/>
              <w:rPr>
                <w:sz w:val="19"/>
                <w:szCs w:val="19"/>
                <w:color w:val="auto"/>
              </w:rPr>
            </w:pPr>
          </w:p>
        </w:tc>
        <w:tc>
          <w:tcPr>
            <w:tcW w:w="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8,152</w:t>
            </w:r>
          </w:p>
        </w:tc>
      </w:tr>
      <w:tr>
        <w:trPr>
          <w:trHeight w:val="223"/>
        </w:trPr>
        <w:tc>
          <w:tcPr>
            <w:tcW w:w="522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Research and development expenses</w:t>
            </w:r>
          </w:p>
        </w:tc>
        <w:tc>
          <w:tcPr>
            <w:tcW w:w="440" w:type="dxa"/>
            <w:vAlign w:val="bottom"/>
            <w:tcBorders>
              <w:bottom w:val="single" w:sz="8" w:color="BFBFBF"/>
            </w:tcBorders>
          </w:tcPr>
          <w:p>
            <w:pPr>
              <w:spacing w:after="0"/>
              <w:rPr>
                <w:sz w:val="19"/>
                <w:szCs w:val="19"/>
                <w:color w:val="auto"/>
              </w:rPr>
            </w:pPr>
          </w:p>
        </w:tc>
        <w:tc>
          <w:tcPr>
            <w:tcW w:w="104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216</w:t>
            </w:r>
          </w:p>
        </w:tc>
        <w:tc>
          <w:tcPr>
            <w:tcW w:w="820" w:type="dxa"/>
            <w:vAlign w:val="bottom"/>
            <w:tcBorders>
              <w:bottom w:val="single" w:sz="8" w:color="BFBFBF"/>
            </w:tcBorders>
          </w:tcPr>
          <w:p>
            <w:pPr>
              <w:spacing w:after="0"/>
              <w:rPr>
                <w:sz w:val="19"/>
                <w:szCs w:val="19"/>
                <w:color w:val="auto"/>
              </w:rPr>
            </w:pPr>
          </w:p>
        </w:tc>
        <w:tc>
          <w:tcPr>
            <w:tcW w:w="6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186</w:t>
            </w:r>
          </w:p>
        </w:tc>
        <w:tc>
          <w:tcPr>
            <w:tcW w:w="80" w:type="dxa"/>
            <w:vAlign w:val="bottom"/>
            <w:tcBorders>
              <w:bottom w:val="single" w:sz="8" w:color="BFBFBF"/>
            </w:tcBorders>
          </w:tcPr>
          <w:p>
            <w:pPr>
              <w:spacing w:after="0"/>
              <w:rPr>
                <w:sz w:val="19"/>
                <w:szCs w:val="19"/>
                <w:color w:val="auto"/>
              </w:rPr>
            </w:pPr>
          </w:p>
        </w:tc>
        <w:tc>
          <w:tcPr>
            <w:tcW w:w="480" w:type="dxa"/>
            <w:vAlign w:val="bottom"/>
            <w:tcBorders>
              <w:bottom w:val="single" w:sz="8" w:color="BFBFBF"/>
            </w:tcBorders>
          </w:tcPr>
          <w:p>
            <w:pPr>
              <w:spacing w:after="0"/>
              <w:rPr>
                <w:sz w:val="19"/>
                <w:szCs w:val="19"/>
                <w:color w:val="auto"/>
              </w:rPr>
            </w:pPr>
          </w:p>
        </w:tc>
        <w:tc>
          <w:tcPr>
            <w:tcW w:w="100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586</w:t>
            </w:r>
          </w:p>
        </w:tc>
        <w:tc>
          <w:tcPr>
            <w:tcW w:w="760" w:type="dxa"/>
            <w:vAlign w:val="bottom"/>
            <w:tcBorders>
              <w:bottom w:val="single" w:sz="8" w:color="BFBFBF"/>
            </w:tcBorders>
          </w:tcPr>
          <w:p>
            <w:pPr>
              <w:spacing w:after="0"/>
              <w:rPr>
                <w:sz w:val="19"/>
                <w:szCs w:val="19"/>
                <w:color w:val="auto"/>
              </w:rPr>
            </w:pPr>
          </w:p>
        </w:tc>
        <w:tc>
          <w:tcPr>
            <w:tcW w:w="7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520</w:t>
            </w:r>
          </w:p>
        </w:tc>
      </w:tr>
      <w:tr>
        <w:trPr>
          <w:trHeight w:val="223"/>
        </w:trPr>
        <w:tc>
          <w:tcPr>
            <w:tcW w:w="522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Selling, general and administrative expenses</w:t>
            </w:r>
          </w:p>
        </w:tc>
        <w:tc>
          <w:tcPr>
            <w:tcW w:w="440" w:type="dxa"/>
            <w:vAlign w:val="bottom"/>
            <w:tcBorders>
              <w:bottom w:val="single" w:sz="8" w:color="BFBFBF"/>
            </w:tcBorders>
          </w:tcPr>
          <w:p>
            <w:pPr>
              <w:spacing w:after="0"/>
              <w:rPr>
                <w:sz w:val="19"/>
                <w:szCs w:val="19"/>
                <w:color w:val="auto"/>
              </w:rPr>
            </w:pPr>
          </w:p>
        </w:tc>
        <w:tc>
          <w:tcPr>
            <w:tcW w:w="104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471</w:t>
            </w:r>
          </w:p>
        </w:tc>
        <w:tc>
          <w:tcPr>
            <w:tcW w:w="820" w:type="dxa"/>
            <w:vAlign w:val="bottom"/>
            <w:tcBorders>
              <w:bottom w:val="single" w:sz="8" w:color="BFBFBF"/>
            </w:tcBorders>
          </w:tcPr>
          <w:p>
            <w:pPr>
              <w:spacing w:after="0"/>
              <w:rPr>
                <w:sz w:val="19"/>
                <w:szCs w:val="19"/>
                <w:color w:val="auto"/>
              </w:rPr>
            </w:pPr>
          </w:p>
        </w:tc>
        <w:tc>
          <w:tcPr>
            <w:tcW w:w="6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441</w:t>
            </w:r>
          </w:p>
        </w:tc>
        <w:tc>
          <w:tcPr>
            <w:tcW w:w="80" w:type="dxa"/>
            <w:vAlign w:val="bottom"/>
            <w:tcBorders>
              <w:bottom w:val="single" w:sz="8" w:color="BFBFBF"/>
            </w:tcBorders>
          </w:tcPr>
          <w:p>
            <w:pPr>
              <w:spacing w:after="0"/>
              <w:rPr>
                <w:sz w:val="19"/>
                <w:szCs w:val="19"/>
                <w:color w:val="auto"/>
              </w:rPr>
            </w:pPr>
          </w:p>
        </w:tc>
        <w:tc>
          <w:tcPr>
            <w:tcW w:w="480" w:type="dxa"/>
            <w:vAlign w:val="bottom"/>
            <w:tcBorders>
              <w:bottom w:val="single" w:sz="8" w:color="BFBFBF"/>
            </w:tcBorders>
          </w:tcPr>
          <w:p>
            <w:pPr>
              <w:spacing w:after="0"/>
              <w:rPr>
                <w:sz w:val="19"/>
                <w:szCs w:val="19"/>
                <w:color w:val="auto"/>
              </w:rPr>
            </w:pPr>
          </w:p>
        </w:tc>
        <w:tc>
          <w:tcPr>
            <w:tcW w:w="100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1,757</w:t>
            </w:r>
          </w:p>
        </w:tc>
        <w:tc>
          <w:tcPr>
            <w:tcW w:w="760" w:type="dxa"/>
            <w:vAlign w:val="bottom"/>
            <w:tcBorders>
              <w:bottom w:val="single" w:sz="8" w:color="BFBFBF"/>
            </w:tcBorders>
          </w:tcPr>
          <w:p>
            <w:pPr>
              <w:spacing w:after="0"/>
              <w:rPr>
                <w:sz w:val="19"/>
                <w:szCs w:val="19"/>
                <w:color w:val="auto"/>
              </w:rPr>
            </w:pPr>
          </w:p>
        </w:tc>
        <w:tc>
          <w:tcPr>
            <w:tcW w:w="7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1,189</w:t>
            </w:r>
          </w:p>
        </w:tc>
      </w:tr>
      <w:tr>
        <w:trPr>
          <w:trHeight w:val="223"/>
        </w:trPr>
        <w:tc>
          <w:tcPr>
            <w:tcW w:w="522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Interest expense (income), net</w:t>
            </w:r>
          </w:p>
        </w:tc>
        <w:tc>
          <w:tcPr>
            <w:tcW w:w="440" w:type="dxa"/>
            <w:vAlign w:val="bottom"/>
            <w:tcBorders>
              <w:bottom w:val="single" w:sz="8" w:color="BFBFBF"/>
            </w:tcBorders>
          </w:tcPr>
          <w:p>
            <w:pPr>
              <w:spacing w:after="0"/>
              <w:rPr>
                <w:sz w:val="19"/>
                <w:szCs w:val="19"/>
                <w:color w:val="auto"/>
              </w:rPr>
            </w:pPr>
          </w:p>
        </w:tc>
        <w:tc>
          <w:tcPr>
            <w:tcW w:w="104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187</w:t>
            </w:r>
          </w:p>
        </w:tc>
        <w:tc>
          <w:tcPr>
            <w:tcW w:w="820" w:type="dxa"/>
            <w:vAlign w:val="bottom"/>
            <w:tcBorders>
              <w:bottom w:val="single" w:sz="8" w:color="BFBFBF"/>
            </w:tcBorders>
          </w:tcPr>
          <w:p>
            <w:pPr>
              <w:spacing w:after="0"/>
              <w:rPr>
                <w:sz w:val="19"/>
                <w:szCs w:val="19"/>
                <w:color w:val="auto"/>
              </w:rPr>
            </w:pPr>
          </w:p>
        </w:tc>
        <w:tc>
          <w:tcPr>
            <w:tcW w:w="6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BFBFBF"/>
            </w:tcBorders>
          </w:tcPr>
          <w:p>
            <w:pPr>
              <w:spacing w:after="0"/>
              <w:rPr>
                <w:sz w:val="19"/>
                <w:szCs w:val="19"/>
                <w:color w:val="auto"/>
              </w:rPr>
            </w:pPr>
          </w:p>
        </w:tc>
        <w:tc>
          <w:tcPr>
            <w:tcW w:w="480" w:type="dxa"/>
            <w:vAlign w:val="bottom"/>
            <w:tcBorders>
              <w:bottom w:val="single" w:sz="8" w:color="BFBFBF"/>
            </w:tcBorders>
          </w:tcPr>
          <w:p>
            <w:pPr>
              <w:spacing w:after="0"/>
              <w:rPr>
                <w:sz w:val="19"/>
                <w:szCs w:val="19"/>
                <w:color w:val="auto"/>
              </w:rPr>
            </w:pPr>
          </w:p>
        </w:tc>
        <w:tc>
          <w:tcPr>
            <w:tcW w:w="100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404</w:t>
            </w:r>
          </w:p>
        </w:tc>
        <w:tc>
          <w:tcPr>
            <w:tcW w:w="760" w:type="dxa"/>
            <w:vAlign w:val="bottom"/>
            <w:tcBorders>
              <w:bottom w:val="single" w:sz="8" w:color="BFBFBF"/>
            </w:tcBorders>
          </w:tcPr>
          <w:p>
            <w:pPr>
              <w:spacing w:after="0"/>
              <w:rPr>
                <w:sz w:val="19"/>
                <w:szCs w:val="19"/>
                <w:color w:val="auto"/>
              </w:rPr>
            </w:pPr>
          </w:p>
        </w:tc>
        <w:tc>
          <w:tcPr>
            <w:tcW w:w="7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5220" w:type="dxa"/>
            <w:vAlign w:val="bottom"/>
            <w:tcBorders>
              <w:bottom w:val="single" w:sz="8" w:color="384348"/>
            </w:tcBorders>
          </w:tcPr>
          <w:p>
            <w:pPr>
              <w:ind w:left="240"/>
              <w:spacing w:after="0"/>
              <w:rPr>
                <w:sz w:val="20"/>
                <w:szCs w:val="20"/>
                <w:color w:val="auto"/>
              </w:rPr>
            </w:pPr>
            <w:r>
              <w:rPr>
                <w:rFonts w:ascii="Arial" w:cs="Arial" w:eastAsia="Arial" w:hAnsi="Arial"/>
                <w:sz w:val="18"/>
                <w:szCs w:val="18"/>
                <w:color w:val="auto"/>
              </w:rPr>
              <w:t>Other (income) expense, net</w:t>
            </w:r>
          </w:p>
        </w:tc>
        <w:tc>
          <w:tcPr>
            <w:tcW w:w="440" w:type="dxa"/>
            <w:vAlign w:val="bottom"/>
            <w:tcBorders>
              <w:bottom w:val="single" w:sz="8" w:color="384348"/>
            </w:tcBorders>
          </w:tcPr>
          <w:p>
            <w:pPr>
              <w:spacing w:after="0"/>
              <w:rPr>
                <w:sz w:val="19"/>
                <w:szCs w:val="19"/>
                <w:color w:val="auto"/>
              </w:rPr>
            </w:pPr>
          </w:p>
        </w:tc>
        <w:tc>
          <w:tcPr>
            <w:tcW w:w="104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(60)</w:t>
            </w:r>
          </w:p>
        </w:tc>
        <w:tc>
          <w:tcPr>
            <w:tcW w:w="820" w:type="dxa"/>
            <w:vAlign w:val="bottom"/>
            <w:tcBorders>
              <w:bottom w:val="single" w:sz="8" w:color="384348"/>
            </w:tcBorders>
          </w:tcPr>
          <w:p>
            <w:pPr>
              <w:spacing w:after="0"/>
              <w:rPr>
                <w:sz w:val="19"/>
                <w:szCs w:val="19"/>
                <w:color w:val="auto"/>
              </w:rPr>
            </w:pPr>
          </w:p>
        </w:tc>
        <w:tc>
          <w:tcPr>
            <w:tcW w:w="66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294</w:t>
            </w:r>
          </w:p>
        </w:tc>
        <w:tc>
          <w:tcPr>
            <w:tcW w:w="80" w:type="dxa"/>
            <w:vAlign w:val="bottom"/>
            <w:tcBorders>
              <w:bottom w:val="single" w:sz="8" w:color="384348"/>
            </w:tcBorders>
          </w:tcPr>
          <w:p>
            <w:pPr>
              <w:spacing w:after="0"/>
              <w:rPr>
                <w:sz w:val="19"/>
                <w:szCs w:val="19"/>
                <w:color w:val="auto"/>
              </w:rPr>
            </w:pPr>
          </w:p>
        </w:tc>
        <w:tc>
          <w:tcPr>
            <w:tcW w:w="480" w:type="dxa"/>
            <w:vAlign w:val="bottom"/>
            <w:tcBorders>
              <w:bottom w:val="single" w:sz="8" w:color="384348"/>
            </w:tcBorders>
          </w:tcPr>
          <w:p>
            <w:pPr>
              <w:spacing w:after="0"/>
              <w:rPr>
                <w:sz w:val="19"/>
                <w:szCs w:val="19"/>
                <w:color w:val="auto"/>
              </w:rPr>
            </w:pPr>
          </w:p>
        </w:tc>
        <w:tc>
          <w:tcPr>
            <w:tcW w:w="10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color w:val="auto"/>
              </w:rPr>
              <w:t>100</w:t>
            </w:r>
          </w:p>
        </w:tc>
        <w:tc>
          <w:tcPr>
            <w:tcW w:w="760" w:type="dxa"/>
            <w:vAlign w:val="bottom"/>
            <w:tcBorders>
              <w:bottom w:val="single" w:sz="8" w:color="384348"/>
            </w:tcBorders>
          </w:tcPr>
          <w:p>
            <w:pPr>
              <w:spacing w:after="0"/>
              <w:rPr>
                <w:sz w:val="19"/>
                <w:szCs w:val="19"/>
                <w:color w:val="auto"/>
              </w:rPr>
            </w:pPr>
          </w:p>
        </w:tc>
        <w:tc>
          <w:tcPr>
            <w:tcW w:w="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375</w:t>
            </w:r>
          </w:p>
        </w:tc>
      </w:tr>
      <w:tr>
        <w:trPr>
          <w:trHeight w:val="223"/>
        </w:trPr>
        <w:tc>
          <w:tcPr>
            <w:tcW w:w="522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Total costs, expenses and other</w:t>
            </w:r>
          </w:p>
        </w:tc>
        <w:tc>
          <w:tcPr>
            <w:tcW w:w="440" w:type="dxa"/>
            <w:vAlign w:val="bottom"/>
            <w:tcBorders>
              <w:bottom w:val="single" w:sz="8" w:color="384348"/>
            </w:tcBorders>
          </w:tcPr>
          <w:p>
            <w:pPr>
              <w:spacing w:after="0"/>
              <w:rPr>
                <w:sz w:val="19"/>
                <w:szCs w:val="19"/>
                <w:color w:val="auto"/>
              </w:rPr>
            </w:pPr>
          </w:p>
        </w:tc>
        <w:tc>
          <w:tcPr>
            <w:tcW w:w="104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b w:val="1"/>
                <w:bCs w:val="1"/>
                <w:color w:val="auto"/>
              </w:rPr>
              <w:t>3,743</w:t>
            </w:r>
          </w:p>
        </w:tc>
        <w:tc>
          <w:tcPr>
            <w:tcW w:w="820" w:type="dxa"/>
            <w:vAlign w:val="bottom"/>
            <w:tcBorders>
              <w:bottom w:val="single" w:sz="8" w:color="384348"/>
            </w:tcBorders>
          </w:tcPr>
          <w:p>
            <w:pPr>
              <w:spacing w:after="0"/>
              <w:rPr>
                <w:sz w:val="19"/>
                <w:szCs w:val="19"/>
                <w:color w:val="auto"/>
              </w:rPr>
            </w:pPr>
          </w:p>
        </w:tc>
        <w:tc>
          <w:tcPr>
            <w:tcW w:w="6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3,792</w:t>
            </w:r>
          </w:p>
        </w:tc>
        <w:tc>
          <w:tcPr>
            <w:tcW w:w="80" w:type="dxa"/>
            <w:vAlign w:val="bottom"/>
            <w:tcBorders>
              <w:bottom w:val="single" w:sz="8" w:color="384348"/>
            </w:tcBorders>
          </w:tcPr>
          <w:p>
            <w:pPr>
              <w:spacing w:after="0"/>
              <w:rPr>
                <w:sz w:val="19"/>
                <w:szCs w:val="19"/>
                <w:color w:val="auto"/>
              </w:rPr>
            </w:pPr>
          </w:p>
        </w:tc>
        <w:tc>
          <w:tcPr>
            <w:tcW w:w="480" w:type="dxa"/>
            <w:vAlign w:val="bottom"/>
            <w:tcBorders>
              <w:bottom w:val="single" w:sz="8" w:color="384348"/>
            </w:tcBorders>
          </w:tcPr>
          <w:p>
            <w:pPr>
              <w:spacing w:after="0"/>
              <w:rPr>
                <w:sz w:val="19"/>
                <w:szCs w:val="19"/>
                <w:color w:val="auto"/>
              </w:rPr>
            </w:pPr>
          </w:p>
        </w:tc>
        <w:tc>
          <w:tcPr>
            <w:tcW w:w="10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b w:val="1"/>
                <w:bCs w:val="1"/>
                <w:color w:val="auto"/>
              </w:rPr>
              <w:t>11,439</w:t>
            </w:r>
          </w:p>
        </w:tc>
        <w:tc>
          <w:tcPr>
            <w:tcW w:w="760" w:type="dxa"/>
            <w:vAlign w:val="bottom"/>
            <w:tcBorders>
              <w:bottom w:val="single" w:sz="8" w:color="384348"/>
            </w:tcBorders>
          </w:tcPr>
          <w:p>
            <w:pPr>
              <w:spacing w:after="0"/>
              <w:rPr>
                <w:sz w:val="19"/>
                <w:szCs w:val="19"/>
                <w:color w:val="auto"/>
              </w:rPr>
            </w:pPr>
          </w:p>
        </w:tc>
        <w:tc>
          <w:tcPr>
            <w:tcW w:w="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10,222</w:t>
            </w:r>
          </w:p>
        </w:tc>
      </w:tr>
      <w:tr>
        <w:trPr>
          <w:trHeight w:val="223"/>
        </w:trPr>
        <w:tc>
          <w:tcPr>
            <w:tcW w:w="522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Income before taxes</w:t>
            </w:r>
          </w:p>
        </w:tc>
        <w:tc>
          <w:tcPr>
            <w:tcW w:w="440" w:type="dxa"/>
            <w:vAlign w:val="bottom"/>
            <w:tcBorders>
              <w:bottom w:val="single" w:sz="8" w:color="384348"/>
            </w:tcBorders>
          </w:tcPr>
          <w:p>
            <w:pPr>
              <w:spacing w:after="0"/>
              <w:rPr>
                <w:sz w:val="19"/>
                <w:szCs w:val="19"/>
                <w:color w:val="auto"/>
              </w:rPr>
            </w:pPr>
          </w:p>
        </w:tc>
        <w:tc>
          <w:tcPr>
            <w:tcW w:w="104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b w:val="1"/>
                <w:bCs w:val="1"/>
                <w:color w:val="auto"/>
              </w:rPr>
              <w:t>901</w:t>
            </w:r>
          </w:p>
        </w:tc>
        <w:tc>
          <w:tcPr>
            <w:tcW w:w="820" w:type="dxa"/>
            <w:vAlign w:val="bottom"/>
            <w:tcBorders>
              <w:bottom w:val="single" w:sz="8" w:color="384348"/>
            </w:tcBorders>
          </w:tcPr>
          <w:p>
            <w:pPr>
              <w:spacing w:after="0"/>
              <w:rPr>
                <w:sz w:val="19"/>
                <w:szCs w:val="19"/>
                <w:color w:val="auto"/>
              </w:rPr>
            </w:pPr>
          </w:p>
        </w:tc>
        <w:tc>
          <w:tcPr>
            <w:tcW w:w="6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741</w:t>
            </w:r>
          </w:p>
        </w:tc>
        <w:tc>
          <w:tcPr>
            <w:tcW w:w="80" w:type="dxa"/>
            <w:vAlign w:val="bottom"/>
            <w:tcBorders>
              <w:bottom w:val="single" w:sz="8" w:color="384348"/>
            </w:tcBorders>
          </w:tcPr>
          <w:p>
            <w:pPr>
              <w:spacing w:after="0"/>
              <w:rPr>
                <w:sz w:val="19"/>
                <w:szCs w:val="19"/>
                <w:color w:val="auto"/>
              </w:rPr>
            </w:pPr>
          </w:p>
        </w:tc>
        <w:tc>
          <w:tcPr>
            <w:tcW w:w="480" w:type="dxa"/>
            <w:vAlign w:val="bottom"/>
            <w:tcBorders>
              <w:bottom w:val="single" w:sz="8" w:color="384348"/>
            </w:tcBorders>
          </w:tcPr>
          <w:p>
            <w:pPr>
              <w:spacing w:after="0"/>
              <w:rPr>
                <w:sz w:val="19"/>
                <w:szCs w:val="19"/>
                <w:color w:val="auto"/>
              </w:rPr>
            </w:pPr>
          </w:p>
        </w:tc>
        <w:tc>
          <w:tcPr>
            <w:tcW w:w="10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b w:val="1"/>
                <w:bCs w:val="1"/>
                <w:color w:val="auto"/>
              </w:rPr>
              <w:t>2,079</w:t>
            </w:r>
          </w:p>
        </w:tc>
        <w:tc>
          <w:tcPr>
            <w:tcW w:w="760" w:type="dxa"/>
            <w:vAlign w:val="bottom"/>
            <w:tcBorders>
              <w:bottom w:val="single" w:sz="8" w:color="384348"/>
            </w:tcBorders>
          </w:tcPr>
          <w:p>
            <w:pPr>
              <w:spacing w:after="0"/>
              <w:rPr>
                <w:sz w:val="19"/>
                <w:szCs w:val="19"/>
                <w:color w:val="auto"/>
              </w:rPr>
            </w:pPr>
          </w:p>
        </w:tc>
        <w:tc>
          <w:tcPr>
            <w:tcW w:w="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2,674</w:t>
            </w:r>
          </w:p>
        </w:tc>
      </w:tr>
      <w:tr>
        <w:trPr>
          <w:trHeight w:val="223"/>
        </w:trPr>
        <w:tc>
          <w:tcPr>
            <w:tcW w:w="522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384348"/>
            </w:tcBorders>
          </w:tcPr>
          <w:p>
            <w:pPr>
              <w:spacing w:after="0"/>
              <w:rPr>
                <w:sz w:val="19"/>
                <w:szCs w:val="19"/>
                <w:color w:val="auto"/>
              </w:rPr>
            </w:pPr>
          </w:p>
        </w:tc>
        <w:tc>
          <w:tcPr>
            <w:tcW w:w="104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color w:val="auto"/>
              </w:rPr>
              <w:t>164</w:t>
            </w:r>
          </w:p>
        </w:tc>
        <w:tc>
          <w:tcPr>
            <w:tcW w:w="820" w:type="dxa"/>
            <w:vAlign w:val="bottom"/>
            <w:tcBorders>
              <w:bottom w:val="single" w:sz="8" w:color="384348"/>
            </w:tcBorders>
          </w:tcPr>
          <w:p>
            <w:pPr>
              <w:spacing w:after="0"/>
              <w:rPr>
                <w:sz w:val="19"/>
                <w:szCs w:val="19"/>
                <w:color w:val="auto"/>
              </w:rPr>
            </w:pPr>
          </w:p>
        </w:tc>
        <w:tc>
          <w:tcPr>
            <w:tcW w:w="66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87</w:t>
            </w:r>
          </w:p>
        </w:tc>
        <w:tc>
          <w:tcPr>
            <w:tcW w:w="80" w:type="dxa"/>
            <w:vAlign w:val="bottom"/>
            <w:tcBorders>
              <w:bottom w:val="single" w:sz="8" w:color="384348"/>
            </w:tcBorders>
          </w:tcPr>
          <w:p>
            <w:pPr>
              <w:spacing w:after="0"/>
              <w:rPr>
                <w:sz w:val="19"/>
                <w:szCs w:val="19"/>
                <w:color w:val="auto"/>
              </w:rPr>
            </w:pPr>
          </w:p>
        </w:tc>
        <w:tc>
          <w:tcPr>
            <w:tcW w:w="480" w:type="dxa"/>
            <w:vAlign w:val="bottom"/>
            <w:tcBorders>
              <w:bottom w:val="single" w:sz="8" w:color="384348"/>
            </w:tcBorders>
          </w:tcPr>
          <w:p>
            <w:pPr>
              <w:spacing w:after="0"/>
              <w:rPr>
                <w:sz w:val="19"/>
                <w:szCs w:val="19"/>
                <w:color w:val="auto"/>
              </w:rPr>
            </w:pPr>
          </w:p>
        </w:tc>
        <w:tc>
          <w:tcPr>
            <w:tcW w:w="10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color w:val="auto"/>
              </w:rPr>
              <w:t>444</w:t>
            </w:r>
          </w:p>
        </w:tc>
        <w:tc>
          <w:tcPr>
            <w:tcW w:w="760" w:type="dxa"/>
            <w:vAlign w:val="bottom"/>
            <w:tcBorders>
              <w:bottom w:val="single" w:sz="8" w:color="384348"/>
            </w:tcBorders>
          </w:tcPr>
          <w:p>
            <w:pPr>
              <w:spacing w:after="0"/>
              <w:rPr>
                <w:sz w:val="19"/>
                <w:szCs w:val="19"/>
                <w:color w:val="auto"/>
              </w:rPr>
            </w:pPr>
          </w:p>
        </w:tc>
        <w:tc>
          <w:tcPr>
            <w:tcW w:w="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382</w:t>
            </w:r>
          </w:p>
        </w:tc>
      </w:tr>
      <w:tr>
        <w:trPr>
          <w:trHeight w:val="223"/>
        </w:trPr>
        <w:tc>
          <w:tcPr>
            <w:tcW w:w="522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440" w:type="dxa"/>
            <w:vAlign w:val="bottom"/>
            <w:tcBorders>
              <w:bottom w:val="single" w:sz="8" w:color="384348"/>
            </w:tcBorders>
          </w:tcPr>
          <w:p>
            <w:pPr>
              <w:spacing w:after="0"/>
              <w:rPr>
                <w:sz w:val="19"/>
                <w:szCs w:val="19"/>
                <w:color w:val="auto"/>
              </w:rPr>
            </w:pPr>
          </w:p>
        </w:tc>
        <w:tc>
          <w:tcPr>
            <w:tcW w:w="104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b w:val="1"/>
                <w:bCs w:val="1"/>
                <w:color w:val="auto"/>
              </w:rPr>
              <w:t>737</w:t>
            </w:r>
          </w:p>
        </w:tc>
        <w:tc>
          <w:tcPr>
            <w:tcW w:w="820" w:type="dxa"/>
            <w:vAlign w:val="bottom"/>
            <w:tcBorders>
              <w:bottom w:val="single" w:sz="8" w:color="384348"/>
            </w:tcBorders>
          </w:tcPr>
          <w:p>
            <w:pPr>
              <w:spacing w:after="0"/>
              <w:rPr>
                <w:sz w:val="19"/>
                <w:szCs w:val="19"/>
                <w:color w:val="auto"/>
              </w:rPr>
            </w:pPr>
          </w:p>
        </w:tc>
        <w:tc>
          <w:tcPr>
            <w:tcW w:w="6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654</w:t>
            </w:r>
          </w:p>
        </w:tc>
        <w:tc>
          <w:tcPr>
            <w:tcW w:w="80" w:type="dxa"/>
            <w:vAlign w:val="bottom"/>
            <w:tcBorders>
              <w:bottom w:val="single" w:sz="8" w:color="384348"/>
            </w:tcBorders>
          </w:tcPr>
          <w:p>
            <w:pPr>
              <w:spacing w:after="0"/>
              <w:rPr>
                <w:sz w:val="19"/>
                <w:szCs w:val="19"/>
                <w:color w:val="auto"/>
              </w:rPr>
            </w:pPr>
          </w:p>
        </w:tc>
        <w:tc>
          <w:tcPr>
            <w:tcW w:w="480" w:type="dxa"/>
            <w:vAlign w:val="bottom"/>
            <w:tcBorders>
              <w:bottom w:val="single" w:sz="8" w:color="384348"/>
            </w:tcBorders>
          </w:tcPr>
          <w:p>
            <w:pPr>
              <w:spacing w:after="0"/>
              <w:rPr>
                <w:sz w:val="19"/>
                <w:szCs w:val="19"/>
                <w:color w:val="auto"/>
              </w:rPr>
            </w:pPr>
          </w:p>
        </w:tc>
        <w:tc>
          <w:tcPr>
            <w:tcW w:w="10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b w:val="1"/>
                <w:bCs w:val="1"/>
                <w:color w:val="auto"/>
              </w:rPr>
              <w:t>1,635</w:t>
            </w:r>
          </w:p>
        </w:tc>
        <w:tc>
          <w:tcPr>
            <w:tcW w:w="760" w:type="dxa"/>
            <w:vAlign w:val="bottom"/>
            <w:tcBorders>
              <w:bottom w:val="single" w:sz="8" w:color="384348"/>
            </w:tcBorders>
          </w:tcPr>
          <w:p>
            <w:pPr>
              <w:spacing w:after="0"/>
              <w:rPr>
                <w:sz w:val="19"/>
                <w:szCs w:val="19"/>
                <w:color w:val="auto"/>
              </w:rPr>
            </w:pPr>
          </w:p>
        </w:tc>
        <w:tc>
          <w:tcPr>
            <w:tcW w:w="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2,292</w:t>
            </w:r>
          </w:p>
        </w:tc>
      </w:tr>
      <w:tr>
        <w:trPr>
          <w:trHeight w:val="223"/>
        </w:trPr>
        <w:tc>
          <w:tcPr>
            <w:tcW w:w="522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440" w:type="dxa"/>
            <w:vAlign w:val="bottom"/>
            <w:tcBorders>
              <w:bottom w:val="single" w:sz="8" w:color="384348"/>
            </w:tcBorders>
          </w:tcPr>
          <w:p>
            <w:pPr>
              <w:spacing w:after="0"/>
              <w:rPr>
                <w:sz w:val="19"/>
                <w:szCs w:val="19"/>
                <w:color w:val="auto"/>
              </w:rPr>
            </w:pPr>
          </w:p>
        </w:tc>
        <w:tc>
          <w:tcPr>
            <w:tcW w:w="104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color w:val="auto"/>
              </w:rPr>
              <w:t>11</w:t>
            </w:r>
          </w:p>
        </w:tc>
        <w:tc>
          <w:tcPr>
            <w:tcW w:w="820" w:type="dxa"/>
            <w:vAlign w:val="bottom"/>
            <w:tcBorders>
              <w:bottom w:val="single" w:sz="8" w:color="384348"/>
            </w:tcBorders>
          </w:tcPr>
          <w:p>
            <w:pPr>
              <w:spacing w:after="0"/>
              <w:rPr>
                <w:sz w:val="19"/>
                <w:szCs w:val="19"/>
                <w:color w:val="auto"/>
              </w:rPr>
            </w:pPr>
          </w:p>
        </w:tc>
        <w:tc>
          <w:tcPr>
            <w:tcW w:w="66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384348"/>
            </w:tcBorders>
          </w:tcPr>
          <w:p>
            <w:pPr>
              <w:spacing w:after="0"/>
              <w:rPr>
                <w:sz w:val="19"/>
                <w:szCs w:val="19"/>
                <w:color w:val="auto"/>
              </w:rPr>
            </w:pPr>
          </w:p>
        </w:tc>
        <w:tc>
          <w:tcPr>
            <w:tcW w:w="480" w:type="dxa"/>
            <w:vAlign w:val="bottom"/>
            <w:tcBorders>
              <w:bottom w:val="single" w:sz="8" w:color="384348"/>
            </w:tcBorders>
          </w:tcPr>
          <w:p>
            <w:pPr>
              <w:spacing w:after="0"/>
              <w:rPr>
                <w:sz w:val="19"/>
                <w:szCs w:val="19"/>
                <w:color w:val="auto"/>
              </w:rPr>
            </w:pPr>
          </w:p>
        </w:tc>
        <w:tc>
          <w:tcPr>
            <w:tcW w:w="10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color w:val="auto"/>
              </w:rPr>
              <w:t>29</w:t>
            </w:r>
          </w:p>
        </w:tc>
        <w:tc>
          <w:tcPr>
            <w:tcW w:w="760" w:type="dxa"/>
            <w:vAlign w:val="bottom"/>
            <w:tcBorders>
              <w:bottom w:val="single" w:sz="8" w:color="384348"/>
            </w:tcBorders>
          </w:tcPr>
          <w:p>
            <w:pPr>
              <w:spacing w:after="0"/>
              <w:rPr>
                <w:sz w:val="19"/>
                <w:szCs w:val="19"/>
                <w:color w:val="auto"/>
              </w:rPr>
            </w:pPr>
          </w:p>
        </w:tc>
        <w:tc>
          <w:tcPr>
            <w:tcW w:w="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522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Net income attributable to Aerospace</w:t>
            </w:r>
          </w:p>
        </w:tc>
        <w:tc>
          <w:tcPr>
            <w:tcW w:w="440" w:type="dxa"/>
            <w:vAlign w:val="bottom"/>
            <w:tcBorders>
              <w:bottom w:val="single" w:sz="8" w:color="384348"/>
            </w:tcBorders>
          </w:tcPr>
          <w:p>
            <w:pPr>
              <w:jc w:val="right"/>
              <w:ind w:right="234"/>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b w:val="1"/>
                <w:bCs w:val="1"/>
                <w:color w:val="auto"/>
              </w:rPr>
              <w:t>726</w:t>
            </w:r>
          </w:p>
        </w:tc>
        <w:tc>
          <w:tcPr>
            <w:tcW w:w="820" w:type="dxa"/>
            <w:vAlign w:val="bottom"/>
            <w:tcBorders>
              <w:bottom w:val="single" w:sz="8" w:color="384348"/>
            </w:tcBorders>
          </w:tcPr>
          <w:p>
            <w:pPr>
              <w:jc w:val="right"/>
              <w:ind w:right="574"/>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644</w:t>
            </w:r>
          </w:p>
        </w:tc>
        <w:tc>
          <w:tcPr>
            <w:tcW w:w="80" w:type="dxa"/>
            <w:vAlign w:val="bottom"/>
            <w:tcBorders>
              <w:bottom w:val="single" w:sz="8" w:color="384348"/>
            </w:tcBorders>
          </w:tcPr>
          <w:p>
            <w:pPr>
              <w:spacing w:after="0"/>
              <w:rPr>
                <w:sz w:val="19"/>
                <w:szCs w:val="19"/>
                <w:color w:val="auto"/>
              </w:rPr>
            </w:pPr>
          </w:p>
        </w:tc>
        <w:tc>
          <w:tcPr>
            <w:tcW w:w="480" w:type="dxa"/>
            <w:vAlign w:val="bottom"/>
            <w:tcBorders>
              <w:bottom w:val="single" w:sz="8" w:color="384348"/>
            </w:tcBorders>
          </w:tcPr>
          <w:p>
            <w:pPr>
              <w:jc w:val="right"/>
              <w:ind w:right="274"/>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b w:val="1"/>
                <w:bCs w:val="1"/>
                <w:color w:val="auto"/>
              </w:rPr>
              <w:t>1,606</w:t>
            </w:r>
          </w:p>
        </w:tc>
        <w:tc>
          <w:tcPr>
            <w:tcW w:w="760" w:type="dxa"/>
            <w:vAlign w:val="bottom"/>
            <w:tcBorders>
              <w:bottom w:val="single" w:sz="8" w:color="384348"/>
            </w:tcBorders>
          </w:tcPr>
          <w:p>
            <w:pPr>
              <w:jc w:val="right"/>
              <w:ind w:right="494"/>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2,265</w:t>
            </w:r>
          </w:p>
        </w:tc>
      </w:tr>
      <w:tr>
        <w:trPr>
          <w:trHeight w:val="223"/>
        </w:trPr>
        <w:tc>
          <w:tcPr>
            <w:tcW w:w="522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Earnings per share of common stock - basic</w:t>
            </w:r>
          </w:p>
        </w:tc>
        <w:tc>
          <w:tcPr>
            <w:tcW w:w="440" w:type="dxa"/>
            <w:vAlign w:val="bottom"/>
            <w:tcBorders>
              <w:bottom w:val="single" w:sz="8" w:color="384348"/>
            </w:tcBorders>
          </w:tcPr>
          <w:p>
            <w:pPr>
              <w:jc w:val="right"/>
              <w:ind w:right="234"/>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b w:val="1"/>
                <w:bCs w:val="1"/>
                <w:color w:val="auto"/>
              </w:rPr>
              <w:t>2.29</w:t>
            </w:r>
          </w:p>
        </w:tc>
        <w:tc>
          <w:tcPr>
            <w:tcW w:w="820" w:type="dxa"/>
            <w:vAlign w:val="bottom"/>
            <w:tcBorders>
              <w:bottom w:val="single" w:sz="8" w:color="384348"/>
            </w:tcBorders>
          </w:tcPr>
          <w:p>
            <w:pPr>
              <w:jc w:val="right"/>
              <w:ind w:right="574"/>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2.03</w:t>
            </w:r>
          </w:p>
        </w:tc>
        <w:tc>
          <w:tcPr>
            <w:tcW w:w="80" w:type="dxa"/>
            <w:vAlign w:val="bottom"/>
            <w:tcBorders>
              <w:bottom w:val="single" w:sz="8" w:color="384348"/>
            </w:tcBorders>
          </w:tcPr>
          <w:p>
            <w:pPr>
              <w:spacing w:after="0"/>
              <w:rPr>
                <w:sz w:val="19"/>
                <w:szCs w:val="19"/>
                <w:color w:val="auto"/>
              </w:rPr>
            </w:pPr>
          </w:p>
        </w:tc>
        <w:tc>
          <w:tcPr>
            <w:tcW w:w="480" w:type="dxa"/>
            <w:vAlign w:val="bottom"/>
            <w:tcBorders>
              <w:bottom w:val="single" w:sz="8" w:color="384348"/>
            </w:tcBorders>
          </w:tcPr>
          <w:p>
            <w:pPr>
              <w:jc w:val="right"/>
              <w:ind w:right="274"/>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b w:val="1"/>
                <w:bCs w:val="1"/>
                <w:color w:val="auto"/>
              </w:rPr>
              <w:t>5.07</w:t>
            </w:r>
          </w:p>
        </w:tc>
        <w:tc>
          <w:tcPr>
            <w:tcW w:w="760" w:type="dxa"/>
            <w:vAlign w:val="bottom"/>
            <w:tcBorders>
              <w:bottom w:val="single" w:sz="8" w:color="384348"/>
            </w:tcBorders>
          </w:tcPr>
          <w:p>
            <w:pPr>
              <w:jc w:val="right"/>
              <w:ind w:right="494"/>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7.15</w:t>
            </w:r>
          </w:p>
        </w:tc>
      </w:tr>
      <w:tr>
        <w:trPr>
          <w:trHeight w:val="223"/>
        </w:trPr>
        <w:tc>
          <w:tcPr>
            <w:tcW w:w="522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Earnings per share of common stock - diluted</w:t>
            </w:r>
          </w:p>
        </w:tc>
        <w:tc>
          <w:tcPr>
            <w:tcW w:w="440" w:type="dxa"/>
            <w:vAlign w:val="bottom"/>
            <w:tcBorders>
              <w:bottom w:val="single" w:sz="8" w:color="384348"/>
            </w:tcBorders>
          </w:tcPr>
          <w:p>
            <w:pPr>
              <w:jc w:val="right"/>
              <w:ind w:right="234"/>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b w:val="1"/>
                <w:bCs w:val="1"/>
                <w:color w:val="auto"/>
              </w:rPr>
              <w:t>2.29</w:t>
            </w:r>
          </w:p>
        </w:tc>
        <w:tc>
          <w:tcPr>
            <w:tcW w:w="820" w:type="dxa"/>
            <w:vAlign w:val="bottom"/>
            <w:tcBorders>
              <w:bottom w:val="single" w:sz="8" w:color="384348"/>
            </w:tcBorders>
          </w:tcPr>
          <w:p>
            <w:pPr>
              <w:jc w:val="right"/>
              <w:ind w:right="574"/>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2.03</w:t>
            </w:r>
          </w:p>
        </w:tc>
        <w:tc>
          <w:tcPr>
            <w:tcW w:w="80" w:type="dxa"/>
            <w:vAlign w:val="bottom"/>
            <w:tcBorders>
              <w:bottom w:val="single" w:sz="8" w:color="384348"/>
            </w:tcBorders>
          </w:tcPr>
          <w:p>
            <w:pPr>
              <w:spacing w:after="0"/>
              <w:rPr>
                <w:sz w:val="19"/>
                <w:szCs w:val="19"/>
                <w:color w:val="auto"/>
              </w:rPr>
            </w:pPr>
          </w:p>
        </w:tc>
        <w:tc>
          <w:tcPr>
            <w:tcW w:w="480" w:type="dxa"/>
            <w:vAlign w:val="bottom"/>
            <w:tcBorders>
              <w:bottom w:val="single" w:sz="8" w:color="384348"/>
            </w:tcBorders>
          </w:tcPr>
          <w:p>
            <w:pPr>
              <w:jc w:val="right"/>
              <w:ind w:right="274"/>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b w:val="1"/>
                <w:bCs w:val="1"/>
                <w:color w:val="auto"/>
              </w:rPr>
              <w:t>5.06</w:t>
            </w:r>
          </w:p>
        </w:tc>
        <w:tc>
          <w:tcPr>
            <w:tcW w:w="760" w:type="dxa"/>
            <w:vAlign w:val="bottom"/>
            <w:tcBorders>
              <w:bottom w:val="single" w:sz="8" w:color="384348"/>
            </w:tcBorders>
          </w:tcPr>
          <w:p>
            <w:pPr>
              <w:jc w:val="right"/>
              <w:ind w:right="494"/>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7.15</w:t>
            </w:r>
          </w:p>
        </w:tc>
      </w:tr>
    </w:tbl>
    <w:p>
      <w:pPr>
        <w:sectPr>
          <w:pgSz w:w="11900" w:h="16838" w:orient="portrait"/>
          <w:cols w:equalWidth="0" w:num="1">
            <w:col w:w="11220"/>
          </w:cols>
          <w:pgMar w:left="320" w:top="364"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Honeywell Aerospace 3Q26 Results - 6</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Honeywell Aerospace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Borders>
              <w:bottom w:val="single" w:sz="8" w:color="FF4400"/>
            </w:tcBorders>
          </w:tcPr>
          <w:p>
            <w:pPr>
              <w:spacing w:after="0"/>
              <w:rPr>
                <w:sz w:val="17"/>
                <w:szCs w:val="17"/>
                <w:color w:val="auto"/>
              </w:rPr>
            </w:pPr>
          </w:p>
        </w:tc>
        <w:tc>
          <w:tcPr>
            <w:tcW w:w="380" w:type="dxa"/>
            <w:vAlign w:val="bottom"/>
            <w:tcBorders>
              <w:bottom w:val="single" w:sz="8" w:color="FF4400"/>
            </w:tcBorders>
          </w:tcPr>
          <w:p>
            <w:pPr>
              <w:spacing w:after="0"/>
              <w:rPr>
                <w:sz w:val="17"/>
                <w:szCs w:val="17"/>
                <w:color w:val="auto"/>
              </w:rPr>
            </w:pPr>
          </w:p>
        </w:tc>
        <w:tc>
          <w:tcPr>
            <w:tcW w:w="1800" w:type="dxa"/>
            <w:vAlign w:val="bottom"/>
            <w:tcBorders>
              <w:bottom w:val="single" w:sz="8" w:color="FF4400"/>
            </w:tcBorders>
          </w:tcPr>
          <w:p>
            <w:pPr>
              <w:jc w:val="right"/>
              <w:ind w:right="271"/>
              <w:spacing w:after="0"/>
              <w:rPr>
                <w:sz w:val="20"/>
                <w:szCs w:val="20"/>
                <w:color w:val="auto"/>
              </w:rPr>
            </w:pPr>
            <w:r>
              <w:rPr>
                <w:rFonts w:ascii="Arial" w:cs="Arial" w:eastAsia="Arial" w:hAnsi="Arial"/>
                <w:sz w:val="14"/>
                <w:szCs w:val="14"/>
                <w:b w:val="1"/>
                <w:bCs w:val="1"/>
                <w:color w:val="auto"/>
              </w:rPr>
              <w:t>September 26, 2026</w:t>
            </w:r>
          </w:p>
        </w:tc>
        <w:tc>
          <w:tcPr>
            <w:tcW w:w="280" w:type="dxa"/>
            <w:vAlign w:val="bottom"/>
            <w:tcBorders>
              <w:bottom w:val="single" w:sz="8" w:color="FF4400"/>
            </w:tcBorders>
          </w:tcPr>
          <w:p>
            <w:pPr>
              <w:spacing w:after="0"/>
              <w:rPr>
                <w:sz w:val="17"/>
                <w:szCs w:val="17"/>
                <w:color w:val="auto"/>
              </w:rPr>
            </w:pPr>
          </w:p>
        </w:tc>
        <w:tc>
          <w:tcPr>
            <w:tcW w:w="1740" w:type="dxa"/>
            <w:vAlign w:val="bottom"/>
            <w:tcBorders>
              <w:bottom w:val="single" w:sz="8" w:color="FF4400"/>
            </w:tcBorders>
          </w:tcPr>
          <w:p>
            <w:pPr>
              <w:jc w:val="right"/>
              <w:ind w:right="251"/>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224"/>
        </w:trPr>
        <w:tc>
          <w:tcPr>
            <w:tcW w:w="7020" w:type="dxa"/>
            <w:vAlign w:val="bottom"/>
            <w:tcBorders>
              <w:bottom w:val="single" w:sz="8" w:color="BFBFBF"/>
            </w:tcBorders>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bottom w:val="single" w:sz="8" w:color="BFBFBF"/>
            </w:tcBorders>
          </w:tcPr>
          <w:p>
            <w:pPr>
              <w:spacing w:after="0"/>
              <w:rPr>
                <w:sz w:val="19"/>
                <w:szCs w:val="19"/>
                <w:color w:val="auto"/>
              </w:rPr>
            </w:pPr>
          </w:p>
        </w:tc>
        <w:tc>
          <w:tcPr>
            <w:tcW w:w="1800" w:type="dxa"/>
            <w:vAlign w:val="bottom"/>
            <w:tcBorders>
              <w:bottom w:val="single" w:sz="8" w:color="BFBFBF"/>
            </w:tcBorders>
          </w:tcPr>
          <w:p>
            <w:pPr>
              <w:spacing w:after="0"/>
              <w:rPr>
                <w:sz w:val="19"/>
                <w:szCs w:val="19"/>
                <w:color w:val="auto"/>
              </w:rPr>
            </w:pPr>
          </w:p>
        </w:tc>
        <w:tc>
          <w:tcPr>
            <w:tcW w:w="28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tcBorders>
              <w:bottom w:val="single" w:sz="8" w:color="BFBFBF"/>
            </w:tcBorders>
          </w:tcPr>
          <w:p>
            <w:pPr>
              <w:spacing w:after="0"/>
              <w:rPr>
                <w:sz w:val="19"/>
                <w:szCs w:val="19"/>
                <w:color w:val="auto"/>
              </w:rPr>
            </w:pPr>
          </w:p>
        </w:tc>
        <w:tc>
          <w:tcPr>
            <w:tcW w:w="1800" w:type="dxa"/>
            <w:vAlign w:val="bottom"/>
            <w:tcBorders>
              <w:bottom w:val="single" w:sz="8" w:color="BFBFBF"/>
            </w:tcBorders>
          </w:tcPr>
          <w:p>
            <w:pPr>
              <w:spacing w:after="0"/>
              <w:rPr>
                <w:sz w:val="19"/>
                <w:szCs w:val="19"/>
                <w:color w:val="auto"/>
              </w:rPr>
            </w:pPr>
          </w:p>
        </w:tc>
        <w:tc>
          <w:tcPr>
            <w:tcW w:w="28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BFBFBF"/>
            </w:tcBorders>
          </w:tcPr>
          <w:p>
            <w:pPr>
              <w:jc w:val="right"/>
              <w:ind w:right="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1,558</w:t>
            </w:r>
          </w:p>
        </w:tc>
        <w:tc>
          <w:tcPr>
            <w:tcW w:w="280" w:type="dxa"/>
            <w:vAlign w:val="bottom"/>
            <w:tcBorders>
              <w:bottom w:val="single" w:sz="8" w:color="BFBFBF"/>
            </w:tcBorders>
          </w:tcPr>
          <w:p>
            <w:pPr>
              <w:jc w:val="right"/>
              <w:ind w:right="1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Accounts receivable, less allowances of $54 and $33, respectively</w:t>
            </w:r>
          </w:p>
        </w:tc>
        <w:tc>
          <w:tcPr>
            <w:tcW w:w="380" w:type="dxa"/>
            <w:vAlign w:val="bottom"/>
            <w:tcBorders>
              <w:bottom w:val="single" w:sz="8" w:color="BFBFBF"/>
            </w:tcBorders>
          </w:tcPr>
          <w:p>
            <w:pPr>
              <w:spacing w:after="0"/>
              <w:rPr>
                <w:sz w:val="19"/>
                <w:szCs w:val="19"/>
                <w:color w:val="auto"/>
              </w:rPr>
            </w:pPr>
          </w:p>
        </w:tc>
        <w:tc>
          <w:tcPr>
            <w:tcW w:w="180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2,324</w:t>
            </w:r>
          </w:p>
        </w:tc>
        <w:tc>
          <w:tcPr>
            <w:tcW w:w="28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Inventories</w:t>
            </w:r>
          </w:p>
        </w:tc>
        <w:tc>
          <w:tcPr>
            <w:tcW w:w="380" w:type="dxa"/>
            <w:vAlign w:val="bottom"/>
            <w:tcBorders>
              <w:bottom w:val="single" w:sz="8" w:color="BFBFBF"/>
            </w:tcBorders>
          </w:tcPr>
          <w:p>
            <w:pPr>
              <w:spacing w:after="0"/>
              <w:rPr>
                <w:sz w:val="19"/>
                <w:szCs w:val="19"/>
                <w:color w:val="auto"/>
              </w:rPr>
            </w:pPr>
          </w:p>
        </w:tc>
        <w:tc>
          <w:tcPr>
            <w:tcW w:w="180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4,624</w:t>
            </w:r>
          </w:p>
        </w:tc>
        <w:tc>
          <w:tcPr>
            <w:tcW w:w="28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Current contract assets</w:t>
            </w:r>
          </w:p>
        </w:tc>
        <w:tc>
          <w:tcPr>
            <w:tcW w:w="380" w:type="dxa"/>
            <w:vAlign w:val="bottom"/>
            <w:tcBorders>
              <w:bottom w:val="single" w:sz="8" w:color="BFBFBF"/>
            </w:tcBorders>
          </w:tcPr>
          <w:p>
            <w:pPr>
              <w:spacing w:after="0"/>
              <w:rPr>
                <w:sz w:val="19"/>
                <w:szCs w:val="19"/>
                <w:color w:val="auto"/>
              </w:rPr>
            </w:pPr>
          </w:p>
        </w:tc>
        <w:tc>
          <w:tcPr>
            <w:tcW w:w="180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1,462</w:t>
            </w:r>
          </w:p>
        </w:tc>
        <w:tc>
          <w:tcPr>
            <w:tcW w:w="28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384348"/>
            </w:tcBorders>
          </w:tcPr>
          <w:p>
            <w:pPr>
              <w:ind w:left="24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384348"/>
            </w:tcBorders>
          </w:tcPr>
          <w:p>
            <w:pPr>
              <w:spacing w:after="0"/>
              <w:rPr>
                <w:sz w:val="19"/>
                <w:szCs w:val="19"/>
                <w:color w:val="auto"/>
              </w:rPr>
            </w:pPr>
          </w:p>
        </w:tc>
        <w:tc>
          <w:tcPr>
            <w:tcW w:w="18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color w:val="auto"/>
              </w:rPr>
              <w:t>544</w:t>
            </w:r>
          </w:p>
        </w:tc>
        <w:tc>
          <w:tcPr>
            <w:tcW w:w="280" w:type="dxa"/>
            <w:vAlign w:val="bottom"/>
            <w:tcBorders>
              <w:bottom w:val="single" w:sz="8" w:color="384348"/>
            </w:tcBorders>
          </w:tcPr>
          <w:p>
            <w:pPr>
              <w:spacing w:after="0"/>
              <w:rPr>
                <w:sz w:val="19"/>
                <w:szCs w:val="19"/>
                <w:color w:val="auto"/>
              </w:rPr>
            </w:pPr>
          </w:p>
        </w:tc>
        <w:tc>
          <w:tcPr>
            <w:tcW w:w="174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384348"/>
            </w:tcBorders>
          </w:tcPr>
          <w:p>
            <w:pPr>
              <w:ind w:left="460"/>
              <w:spacing w:after="0"/>
              <w:rPr>
                <w:sz w:val="20"/>
                <w:szCs w:val="20"/>
                <w:color w:val="auto"/>
              </w:rPr>
            </w:pPr>
            <w:r>
              <w:rPr>
                <w:rFonts w:ascii="Arial" w:cs="Arial" w:eastAsia="Arial" w:hAnsi="Arial"/>
                <w:sz w:val="18"/>
                <w:szCs w:val="18"/>
                <w:b w:val="1"/>
                <w:bCs w:val="1"/>
                <w:color w:val="auto"/>
              </w:rPr>
              <w:t>Total current assets</w:t>
            </w:r>
          </w:p>
        </w:tc>
        <w:tc>
          <w:tcPr>
            <w:tcW w:w="380" w:type="dxa"/>
            <w:vAlign w:val="bottom"/>
            <w:tcBorders>
              <w:bottom w:val="single" w:sz="8" w:color="384348"/>
            </w:tcBorders>
          </w:tcPr>
          <w:p>
            <w:pPr>
              <w:spacing w:after="0"/>
              <w:rPr>
                <w:sz w:val="19"/>
                <w:szCs w:val="19"/>
                <w:color w:val="auto"/>
              </w:rPr>
            </w:pPr>
          </w:p>
        </w:tc>
        <w:tc>
          <w:tcPr>
            <w:tcW w:w="18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b w:val="1"/>
                <w:bCs w:val="1"/>
                <w:color w:val="auto"/>
              </w:rPr>
              <w:t>10,512</w:t>
            </w:r>
          </w:p>
        </w:tc>
        <w:tc>
          <w:tcPr>
            <w:tcW w:w="280" w:type="dxa"/>
            <w:vAlign w:val="bottom"/>
            <w:tcBorders>
              <w:bottom w:val="single" w:sz="8" w:color="384348"/>
            </w:tcBorders>
          </w:tcPr>
          <w:p>
            <w:pPr>
              <w:spacing w:after="0"/>
              <w:rPr>
                <w:sz w:val="19"/>
                <w:szCs w:val="19"/>
                <w:color w:val="auto"/>
              </w:rPr>
            </w:pPr>
          </w:p>
        </w:tc>
        <w:tc>
          <w:tcPr>
            <w:tcW w:w="17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8,390</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Borders>
              <w:bottom w:val="single" w:sz="8" w:color="BFBFBF"/>
            </w:tcBorders>
          </w:tcPr>
          <w:p>
            <w:pPr>
              <w:spacing w:after="0"/>
              <w:rPr>
                <w:sz w:val="19"/>
                <w:szCs w:val="19"/>
                <w:color w:val="auto"/>
              </w:rPr>
            </w:pPr>
          </w:p>
        </w:tc>
        <w:tc>
          <w:tcPr>
            <w:tcW w:w="180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2,318</w:t>
            </w:r>
          </w:p>
        </w:tc>
        <w:tc>
          <w:tcPr>
            <w:tcW w:w="28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BFBFBF"/>
            </w:tcBorders>
          </w:tcPr>
          <w:p>
            <w:pPr>
              <w:spacing w:after="0"/>
              <w:rPr>
                <w:sz w:val="19"/>
                <w:szCs w:val="19"/>
                <w:color w:val="auto"/>
              </w:rPr>
            </w:pPr>
          </w:p>
        </w:tc>
        <w:tc>
          <w:tcPr>
            <w:tcW w:w="180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3,035</w:t>
            </w:r>
          </w:p>
        </w:tc>
        <w:tc>
          <w:tcPr>
            <w:tcW w:w="28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Other intangible assets, net</w:t>
            </w:r>
          </w:p>
        </w:tc>
        <w:tc>
          <w:tcPr>
            <w:tcW w:w="380" w:type="dxa"/>
            <w:vAlign w:val="bottom"/>
            <w:tcBorders>
              <w:bottom w:val="single" w:sz="8" w:color="BFBFBF"/>
            </w:tcBorders>
          </w:tcPr>
          <w:p>
            <w:pPr>
              <w:spacing w:after="0"/>
              <w:rPr>
                <w:sz w:val="19"/>
                <w:szCs w:val="19"/>
                <w:color w:val="auto"/>
              </w:rPr>
            </w:pPr>
          </w:p>
        </w:tc>
        <w:tc>
          <w:tcPr>
            <w:tcW w:w="180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2,239</w:t>
            </w:r>
          </w:p>
        </w:tc>
        <w:tc>
          <w:tcPr>
            <w:tcW w:w="28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Deferred tax assets</w:t>
            </w:r>
          </w:p>
        </w:tc>
        <w:tc>
          <w:tcPr>
            <w:tcW w:w="380" w:type="dxa"/>
            <w:vAlign w:val="bottom"/>
            <w:tcBorders>
              <w:bottom w:val="single" w:sz="8" w:color="BFBFBF"/>
            </w:tcBorders>
          </w:tcPr>
          <w:p>
            <w:pPr>
              <w:spacing w:after="0"/>
              <w:rPr>
                <w:sz w:val="19"/>
                <w:szCs w:val="19"/>
                <w:color w:val="auto"/>
              </w:rPr>
            </w:pPr>
          </w:p>
        </w:tc>
        <w:tc>
          <w:tcPr>
            <w:tcW w:w="180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72</w:t>
            </w:r>
          </w:p>
        </w:tc>
        <w:tc>
          <w:tcPr>
            <w:tcW w:w="28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Pension assets</w:t>
            </w:r>
          </w:p>
        </w:tc>
        <w:tc>
          <w:tcPr>
            <w:tcW w:w="380" w:type="dxa"/>
            <w:vAlign w:val="bottom"/>
            <w:tcBorders>
              <w:bottom w:val="single" w:sz="8" w:color="BFBFBF"/>
            </w:tcBorders>
          </w:tcPr>
          <w:p>
            <w:pPr>
              <w:spacing w:after="0"/>
              <w:rPr>
                <w:sz w:val="19"/>
                <w:szCs w:val="19"/>
                <w:color w:val="auto"/>
              </w:rPr>
            </w:pPr>
          </w:p>
        </w:tc>
        <w:tc>
          <w:tcPr>
            <w:tcW w:w="180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3,039</w:t>
            </w:r>
          </w:p>
        </w:tc>
        <w:tc>
          <w:tcPr>
            <w:tcW w:w="28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384348"/>
            </w:tcBorders>
          </w:tcPr>
          <w:p>
            <w:pPr>
              <w:spacing w:after="0"/>
              <w:rPr>
                <w:sz w:val="19"/>
                <w:szCs w:val="19"/>
                <w:color w:val="auto"/>
              </w:rPr>
            </w:pPr>
          </w:p>
        </w:tc>
        <w:tc>
          <w:tcPr>
            <w:tcW w:w="18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color w:val="auto"/>
              </w:rPr>
              <w:t>1,817</w:t>
            </w:r>
          </w:p>
        </w:tc>
        <w:tc>
          <w:tcPr>
            <w:tcW w:w="280" w:type="dxa"/>
            <w:vAlign w:val="bottom"/>
            <w:tcBorders>
              <w:bottom w:val="single" w:sz="8" w:color="384348"/>
            </w:tcBorders>
          </w:tcPr>
          <w:p>
            <w:pPr>
              <w:spacing w:after="0"/>
              <w:rPr>
                <w:sz w:val="19"/>
                <w:szCs w:val="19"/>
                <w:color w:val="auto"/>
              </w:rPr>
            </w:pPr>
          </w:p>
        </w:tc>
        <w:tc>
          <w:tcPr>
            <w:tcW w:w="174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384348"/>
            </w:tcBorders>
          </w:tcPr>
          <w:p>
            <w:pPr>
              <w:ind w:left="46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384348"/>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8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b w:val="1"/>
                <w:bCs w:val="1"/>
                <w:color w:val="auto"/>
              </w:rPr>
              <w:t>23,032</w:t>
            </w:r>
          </w:p>
        </w:tc>
        <w:tc>
          <w:tcPr>
            <w:tcW w:w="280" w:type="dxa"/>
            <w:vAlign w:val="bottom"/>
            <w:tcBorders>
              <w:bottom w:val="single" w:sz="8" w:color="384348"/>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7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17,685</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BFBFBF"/>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Borders>
              <w:bottom w:val="single" w:sz="8" w:color="BFBFBF"/>
            </w:tcBorders>
          </w:tcPr>
          <w:p>
            <w:pPr>
              <w:spacing w:after="0"/>
              <w:rPr>
                <w:sz w:val="19"/>
                <w:szCs w:val="19"/>
                <w:color w:val="auto"/>
              </w:rPr>
            </w:pPr>
          </w:p>
        </w:tc>
        <w:tc>
          <w:tcPr>
            <w:tcW w:w="1800" w:type="dxa"/>
            <w:vAlign w:val="bottom"/>
            <w:tcBorders>
              <w:bottom w:val="single" w:sz="8" w:color="BFBFBF"/>
            </w:tcBorders>
          </w:tcPr>
          <w:p>
            <w:pPr>
              <w:spacing w:after="0"/>
              <w:rPr>
                <w:sz w:val="19"/>
                <w:szCs w:val="19"/>
                <w:color w:val="auto"/>
              </w:rPr>
            </w:pPr>
          </w:p>
        </w:tc>
        <w:tc>
          <w:tcPr>
            <w:tcW w:w="28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tcBorders>
              <w:bottom w:val="single" w:sz="8" w:color="BFBFBF"/>
            </w:tcBorders>
          </w:tcPr>
          <w:p>
            <w:pPr>
              <w:spacing w:after="0"/>
              <w:rPr>
                <w:sz w:val="19"/>
                <w:szCs w:val="19"/>
                <w:color w:val="auto"/>
              </w:rPr>
            </w:pPr>
          </w:p>
        </w:tc>
        <w:tc>
          <w:tcPr>
            <w:tcW w:w="1800" w:type="dxa"/>
            <w:vAlign w:val="bottom"/>
            <w:tcBorders>
              <w:bottom w:val="single" w:sz="8" w:color="BFBFBF"/>
            </w:tcBorders>
          </w:tcPr>
          <w:p>
            <w:pPr>
              <w:spacing w:after="0"/>
              <w:rPr>
                <w:sz w:val="19"/>
                <w:szCs w:val="19"/>
                <w:color w:val="auto"/>
              </w:rPr>
            </w:pPr>
          </w:p>
        </w:tc>
        <w:tc>
          <w:tcPr>
            <w:tcW w:w="28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Accounts payable</w:t>
            </w:r>
          </w:p>
        </w:tc>
        <w:tc>
          <w:tcPr>
            <w:tcW w:w="380" w:type="dxa"/>
            <w:vAlign w:val="bottom"/>
            <w:tcBorders>
              <w:bottom w:val="single" w:sz="8" w:color="BFBFBF"/>
            </w:tcBorders>
          </w:tcPr>
          <w:p>
            <w:pPr>
              <w:jc w:val="right"/>
              <w:ind w:right="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2,931</w:t>
            </w:r>
          </w:p>
        </w:tc>
        <w:tc>
          <w:tcPr>
            <w:tcW w:w="280" w:type="dxa"/>
            <w:vAlign w:val="bottom"/>
            <w:tcBorders>
              <w:bottom w:val="single" w:sz="8" w:color="BFBFBF"/>
            </w:tcBorders>
          </w:tcPr>
          <w:p>
            <w:pPr>
              <w:jc w:val="right"/>
              <w:ind w:right="1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BFBFBF"/>
            </w:tcBorders>
          </w:tcPr>
          <w:p>
            <w:pPr>
              <w:ind w:left="240"/>
              <w:spacing w:after="0"/>
              <w:rPr>
                <w:sz w:val="20"/>
                <w:szCs w:val="20"/>
                <w:color w:val="auto"/>
              </w:rPr>
            </w:pPr>
            <w:r>
              <w:rPr>
                <w:rFonts w:ascii="Arial" w:cs="Arial" w:eastAsia="Arial" w:hAnsi="Arial"/>
                <w:sz w:val="18"/>
                <w:szCs w:val="18"/>
                <w:color w:val="auto"/>
              </w:rPr>
              <w:t>Current contract liabilities</w:t>
            </w:r>
          </w:p>
        </w:tc>
        <w:tc>
          <w:tcPr>
            <w:tcW w:w="380" w:type="dxa"/>
            <w:vAlign w:val="bottom"/>
            <w:tcBorders>
              <w:bottom w:val="single" w:sz="8" w:color="BFBFBF"/>
            </w:tcBorders>
          </w:tcPr>
          <w:p>
            <w:pPr>
              <w:spacing w:after="0"/>
              <w:rPr>
                <w:sz w:val="19"/>
                <w:szCs w:val="19"/>
                <w:color w:val="auto"/>
              </w:rPr>
            </w:pPr>
          </w:p>
        </w:tc>
        <w:tc>
          <w:tcPr>
            <w:tcW w:w="180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1,612</w:t>
            </w:r>
          </w:p>
        </w:tc>
        <w:tc>
          <w:tcPr>
            <w:tcW w:w="28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384348"/>
            </w:tcBorders>
          </w:tcPr>
          <w:p>
            <w:pPr>
              <w:ind w:left="24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384348"/>
            </w:tcBorders>
          </w:tcPr>
          <w:p>
            <w:pPr>
              <w:spacing w:after="0"/>
              <w:rPr>
                <w:sz w:val="19"/>
                <w:szCs w:val="19"/>
                <w:color w:val="auto"/>
              </w:rPr>
            </w:pPr>
          </w:p>
        </w:tc>
        <w:tc>
          <w:tcPr>
            <w:tcW w:w="18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color w:val="auto"/>
              </w:rPr>
              <w:t>1,857</w:t>
            </w:r>
          </w:p>
        </w:tc>
        <w:tc>
          <w:tcPr>
            <w:tcW w:w="280" w:type="dxa"/>
            <w:vAlign w:val="bottom"/>
            <w:tcBorders>
              <w:bottom w:val="single" w:sz="8" w:color="384348"/>
            </w:tcBorders>
          </w:tcPr>
          <w:p>
            <w:pPr>
              <w:spacing w:after="0"/>
              <w:rPr>
                <w:sz w:val="19"/>
                <w:szCs w:val="19"/>
                <w:color w:val="auto"/>
              </w:rPr>
            </w:pPr>
          </w:p>
        </w:tc>
        <w:tc>
          <w:tcPr>
            <w:tcW w:w="174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384348"/>
            </w:tcBorders>
          </w:tcPr>
          <w:p>
            <w:pPr>
              <w:ind w:left="460"/>
              <w:spacing w:after="0"/>
              <w:rPr>
                <w:sz w:val="20"/>
                <w:szCs w:val="20"/>
                <w:color w:val="auto"/>
              </w:rPr>
            </w:pPr>
            <w:r>
              <w:rPr>
                <w:rFonts w:ascii="Arial" w:cs="Arial" w:eastAsia="Arial" w:hAnsi="Arial"/>
                <w:sz w:val="18"/>
                <w:szCs w:val="18"/>
                <w:b w:val="1"/>
                <w:bCs w:val="1"/>
                <w:color w:val="auto"/>
              </w:rPr>
              <w:t>Total current liabilities</w:t>
            </w:r>
          </w:p>
        </w:tc>
        <w:tc>
          <w:tcPr>
            <w:tcW w:w="380" w:type="dxa"/>
            <w:vAlign w:val="bottom"/>
            <w:tcBorders>
              <w:bottom w:val="single" w:sz="8" w:color="384348"/>
            </w:tcBorders>
          </w:tcPr>
          <w:p>
            <w:pPr>
              <w:spacing w:after="0"/>
              <w:rPr>
                <w:sz w:val="19"/>
                <w:szCs w:val="19"/>
                <w:color w:val="auto"/>
              </w:rPr>
            </w:pPr>
          </w:p>
        </w:tc>
        <w:tc>
          <w:tcPr>
            <w:tcW w:w="18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b w:val="1"/>
                <w:bCs w:val="1"/>
                <w:color w:val="auto"/>
              </w:rPr>
              <w:t>6,400</w:t>
            </w:r>
          </w:p>
        </w:tc>
        <w:tc>
          <w:tcPr>
            <w:tcW w:w="280" w:type="dxa"/>
            <w:vAlign w:val="bottom"/>
            <w:tcBorders>
              <w:bottom w:val="single" w:sz="8" w:color="384348"/>
            </w:tcBorders>
          </w:tcPr>
          <w:p>
            <w:pPr>
              <w:spacing w:after="0"/>
              <w:rPr>
                <w:sz w:val="19"/>
                <w:szCs w:val="19"/>
                <w:color w:val="auto"/>
              </w:rPr>
            </w:pPr>
          </w:p>
        </w:tc>
        <w:tc>
          <w:tcPr>
            <w:tcW w:w="17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6,577</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Long-term debt</w:t>
            </w:r>
          </w:p>
        </w:tc>
        <w:tc>
          <w:tcPr>
            <w:tcW w:w="380" w:type="dxa"/>
            <w:vAlign w:val="bottom"/>
            <w:tcBorders>
              <w:bottom w:val="single" w:sz="8" w:color="BFBFBF"/>
            </w:tcBorders>
          </w:tcPr>
          <w:p>
            <w:pPr>
              <w:spacing w:after="0"/>
              <w:rPr>
                <w:sz w:val="19"/>
                <w:szCs w:val="19"/>
                <w:color w:val="auto"/>
              </w:rPr>
            </w:pPr>
          </w:p>
        </w:tc>
        <w:tc>
          <w:tcPr>
            <w:tcW w:w="180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15,853</w:t>
            </w:r>
          </w:p>
        </w:tc>
        <w:tc>
          <w:tcPr>
            <w:tcW w:w="28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Contract liabilities</w:t>
            </w:r>
          </w:p>
        </w:tc>
        <w:tc>
          <w:tcPr>
            <w:tcW w:w="380" w:type="dxa"/>
            <w:vAlign w:val="bottom"/>
            <w:tcBorders>
              <w:bottom w:val="single" w:sz="8" w:color="BFBFBF"/>
            </w:tcBorders>
          </w:tcPr>
          <w:p>
            <w:pPr>
              <w:spacing w:after="0"/>
              <w:rPr>
                <w:sz w:val="19"/>
                <w:szCs w:val="19"/>
                <w:color w:val="auto"/>
              </w:rPr>
            </w:pPr>
          </w:p>
        </w:tc>
        <w:tc>
          <w:tcPr>
            <w:tcW w:w="180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1,075</w:t>
            </w:r>
          </w:p>
        </w:tc>
        <w:tc>
          <w:tcPr>
            <w:tcW w:w="28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Deferred tax liabilities</w:t>
            </w:r>
          </w:p>
        </w:tc>
        <w:tc>
          <w:tcPr>
            <w:tcW w:w="380" w:type="dxa"/>
            <w:vAlign w:val="bottom"/>
            <w:tcBorders>
              <w:bottom w:val="single" w:sz="8" w:color="BFBFBF"/>
            </w:tcBorders>
          </w:tcPr>
          <w:p>
            <w:pPr>
              <w:spacing w:after="0"/>
              <w:rPr>
                <w:sz w:val="19"/>
                <w:szCs w:val="19"/>
                <w:color w:val="auto"/>
              </w:rPr>
            </w:pPr>
          </w:p>
        </w:tc>
        <w:tc>
          <w:tcPr>
            <w:tcW w:w="180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679</w:t>
            </w:r>
          </w:p>
        </w:tc>
        <w:tc>
          <w:tcPr>
            <w:tcW w:w="28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384348"/>
            </w:tcBorders>
          </w:tcPr>
          <w:p>
            <w:pPr>
              <w:spacing w:after="0"/>
              <w:rPr>
                <w:sz w:val="19"/>
                <w:szCs w:val="19"/>
                <w:color w:val="auto"/>
              </w:rPr>
            </w:pPr>
          </w:p>
        </w:tc>
        <w:tc>
          <w:tcPr>
            <w:tcW w:w="18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color w:val="auto"/>
              </w:rPr>
              <w:t>1,514</w:t>
            </w:r>
          </w:p>
        </w:tc>
        <w:tc>
          <w:tcPr>
            <w:tcW w:w="280" w:type="dxa"/>
            <w:vAlign w:val="bottom"/>
            <w:tcBorders>
              <w:bottom w:val="single" w:sz="8" w:color="384348"/>
            </w:tcBorders>
          </w:tcPr>
          <w:p>
            <w:pPr>
              <w:spacing w:after="0"/>
              <w:rPr>
                <w:sz w:val="19"/>
                <w:szCs w:val="19"/>
                <w:color w:val="auto"/>
              </w:rPr>
            </w:pPr>
          </w:p>
        </w:tc>
        <w:tc>
          <w:tcPr>
            <w:tcW w:w="174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384348"/>
            </w:tcBorders>
          </w:tcPr>
          <w:p>
            <w:pPr>
              <w:ind w:left="460"/>
              <w:spacing w:after="0"/>
              <w:rPr>
                <w:sz w:val="20"/>
                <w:szCs w:val="20"/>
                <w:color w:val="auto"/>
              </w:rPr>
            </w:pPr>
            <w:r>
              <w:rPr>
                <w:rFonts w:ascii="Arial" w:cs="Arial" w:eastAsia="Arial" w:hAnsi="Arial"/>
                <w:sz w:val="18"/>
                <w:szCs w:val="18"/>
                <w:b w:val="1"/>
                <w:bCs w:val="1"/>
                <w:color w:val="auto"/>
              </w:rPr>
              <w:t>Total liabilities</w:t>
            </w:r>
          </w:p>
        </w:tc>
        <w:tc>
          <w:tcPr>
            <w:tcW w:w="380" w:type="dxa"/>
            <w:vAlign w:val="bottom"/>
            <w:tcBorders>
              <w:bottom w:val="single" w:sz="8" w:color="384348"/>
            </w:tcBorders>
          </w:tcPr>
          <w:p>
            <w:pPr>
              <w:spacing w:after="0"/>
              <w:rPr>
                <w:sz w:val="19"/>
                <w:szCs w:val="19"/>
                <w:color w:val="auto"/>
              </w:rPr>
            </w:pPr>
          </w:p>
        </w:tc>
        <w:tc>
          <w:tcPr>
            <w:tcW w:w="18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b w:val="1"/>
                <w:bCs w:val="1"/>
                <w:color w:val="auto"/>
              </w:rPr>
              <w:t>25,521</w:t>
            </w:r>
          </w:p>
        </w:tc>
        <w:tc>
          <w:tcPr>
            <w:tcW w:w="280" w:type="dxa"/>
            <w:vAlign w:val="bottom"/>
            <w:tcBorders>
              <w:bottom w:val="single" w:sz="8" w:color="384348"/>
            </w:tcBorders>
          </w:tcPr>
          <w:p>
            <w:pPr>
              <w:spacing w:after="0"/>
              <w:rPr>
                <w:sz w:val="19"/>
                <w:szCs w:val="19"/>
                <w:color w:val="auto"/>
              </w:rPr>
            </w:pPr>
          </w:p>
        </w:tc>
        <w:tc>
          <w:tcPr>
            <w:tcW w:w="17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9,189</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BFBFBF"/>
            </w:tcBorders>
          </w:tcPr>
          <w:p>
            <w:pPr>
              <w:ind w:left="20"/>
              <w:spacing w:after="0"/>
              <w:rPr>
                <w:sz w:val="20"/>
                <w:szCs w:val="20"/>
                <w:color w:val="auto"/>
              </w:rPr>
            </w:pPr>
            <w:r>
              <w:rPr>
                <w:rFonts w:ascii="Arial" w:cs="Arial" w:eastAsia="Arial" w:hAnsi="Arial"/>
                <w:sz w:val="18"/>
                <w:szCs w:val="18"/>
                <w:b w:val="1"/>
                <w:bCs w:val="1"/>
                <w:color w:val="auto"/>
              </w:rPr>
              <w:t>EQUITY</w:t>
            </w:r>
          </w:p>
        </w:tc>
        <w:tc>
          <w:tcPr>
            <w:tcW w:w="380" w:type="dxa"/>
            <w:vAlign w:val="bottom"/>
            <w:tcBorders>
              <w:bottom w:val="single" w:sz="8" w:color="BFBFBF"/>
            </w:tcBorders>
          </w:tcPr>
          <w:p>
            <w:pPr>
              <w:spacing w:after="0"/>
              <w:rPr>
                <w:sz w:val="19"/>
                <w:szCs w:val="19"/>
                <w:color w:val="auto"/>
              </w:rPr>
            </w:pPr>
          </w:p>
        </w:tc>
        <w:tc>
          <w:tcPr>
            <w:tcW w:w="1800" w:type="dxa"/>
            <w:vAlign w:val="bottom"/>
            <w:tcBorders>
              <w:bottom w:val="single" w:sz="8" w:color="BFBFBF"/>
            </w:tcBorders>
          </w:tcPr>
          <w:p>
            <w:pPr>
              <w:spacing w:after="0"/>
              <w:rPr>
                <w:sz w:val="19"/>
                <w:szCs w:val="19"/>
                <w:color w:val="auto"/>
              </w:rPr>
            </w:pPr>
          </w:p>
        </w:tc>
        <w:tc>
          <w:tcPr>
            <w:tcW w:w="28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7020" w:type="dxa"/>
            <w:vAlign w:val="bottom"/>
          </w:tcPr>
          <w:p>
            <w:pPr>
              <w:ind w:left="20"/>
              <w:spacing w:after="0" w:line="177" w:lineRule="exact"/>
              <w:rPr>
                <w:sz w:val="20"/>
                <w:szCs w:val="20"/>
                <w:color w:val="auto"/>
              </w:rPr>
            </w:pPr>
            <w:r>
              <w:rPr>
                <w:rFonts w:ascii="Arial" w:cs="Arial" w:eastAsia="Arial" w:hAnsi="Arial"/>
                <w:sz w:val="18"/>
                <w:szCs w:val="18"/>
                <w:color w:val="auto"/>
              </w:rPr>
              <w:t>Preferred stock, par value $0.01 per share; 40.0 million shares authorized; no shares</w:t>
            </w:r>
          </w:p>
        </w:tc>
        <w:tc>
          <w:tcPr>
            <w:tcW w:w="380" w:type="dxa"/>
            <w:vAlign w:val="bottom"/>
          </w:tcPr>
          <w:p>
            <w:pPr>
              <w:spacing w:after="0"/>
              <w:rPr>
                <w:sz w:val="15"/>
                <w:szCs w:val="15"/>
                <w:color w:val="auto"/>
              </w:rPr>
            </w:pPr>
          </w:p>
        </w:tc>
        <w:tc>
          <w:tcPr>
            <w:tcW w:w="180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020" w:type="dxa"/>
            <w:vAlign w:val="bottom"/>
            <w:tcBorders>
              <w:bottom w:val="single" w:sz="8" w:color="BFBFBF"/>
            </w:tcBorders>
          </w:tcPr>
          <w:p>
            <w:pPr>
              <w:ind w:left="180"/>
              <w:spacing w:after="0"/>
              <w:rPr>
                <w:sz w:val="20"/>
                <w:szCs w:val="20"/>
                <w:color w:val="auto"/>
              </w:rPr>
            </w:pPr>
            <w:r>
              <w:rPr>
                <w:rFonts w:ascii="Arial" w:cs="Arial" w:eastAsia="Arial" w:hAnsi="Arial"/>
                <w:sz w:val="18"/>
                <w:szCs w:val="18"/>
                <w:color w:val="auto"/>
              </w:rPr>
              <w:t>issued and outstanding</w:t>
            </w:r>
          </w:p>
        </w:tc>
        <w:tc>
          <w:tcPr>
            <w:tcW w:w="380" w:type="dxa"/>
            <w:vAlign w:val="bottom"/>
            <w:tcBorders>
              <w:bottom w:val="single" w:sz="8" w:color="BFBFBF"/>
            </w:tcBorders>
          </w:tcPr>
          <w:p>
            <w:pPr>
              <w:spacing w:after="0"/>
              <w:rPr>
                <w:sz w:val="20"/>
                <w:szCs w:val="20"/>
                <w:color w:val="auto"/>
              </w:rPr>
            </w:pPr>
          </w:p>
        </w:tc>
        <w:tc>
          <w:tcPr>
            <w:tcW w:w="1800" w:type="dxa"/>
            <w:vAlign w:val="bottom"/>
            <w:tcBorders>
              <w:bottom w:val="single" w:sz="8" w:color="BFBFBF"/>
            </w:tcBorders>
            <w:vMerge w:val="continue"/>
          </w:tcPr>
          <w:p>
            <w:pPr>
              <w:spacing w:after="0"/>
              <w:rPr>
                <w:sz w:val="20"/>
                <w:szCs w:val="20"/>
                <w:color w:val="auto"/>
              </w:rPr>
            </w:pPr>
          </w:p>
        </w:tc>
        <w:tc>
          <w:tcPr>
            <w:tcW w:w="280" w:type="dxa"/>
            <w:vAlign w:val="bottom"/>
            <w:tcBorders>
              <w:bottom w:val="single" w:sz="8" w:color="BFBFBF"/>
            </w:tcBorders>
          </w:tcPr>
          <w:p>
            <w:pPr>
              <w:spacing w:after="0"/>
              <w:rPr>
                <w:sz w:val="20"/>
                <w:szCs w:val="20"/>
                <w:color w:val="auto"/>
              </w:rPr>
            </w:pPr>
          </w:p>
        </w:tc>
        <w:tc>
          <w:tcPr>
            <w:tcW w:w="1740" w:type="dxa"/>
            <w:vAlign w:val="bottom"/>
            <w:tcBorders>
              <w:bottom w:val="single" w:sz="8" w:color="BFBFB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7020" w:type="dxa"/>
            <w:vAlign w:val="bottom"/>
          </w:tcPr>
          <w:p>
            <w:pPr>
              <w:ind w:left="20"/>
              <w:spacing w:after="0" w:line="177" w:lineRule="exact"/>
              <w:rPr>
                <w:sz w:val="20"/>
                <w:szCs w:val="20"/>
                <w:color w:val="auto"/>
              </w:rPr>
            </w:pPr>
            <w:r>
              <w:rPr>
                <w:rFonts w:ascii="Arial" w:cs="Arial" w:eastAsia="Arial" w:hAnsi="Arial"/>
                <w:sz w:val="18"/>
                <w:szCs w:val="18"/>
                <w:color w:val="auto"/>
              </w:rPr>
              <w:t>Common stock, par value $0.01 per share; 1.0 billion shares authorized; 317.0 million</w:t>
            </w:r>
          </w:p>
        </w:tc>
        <w:tc>
          <w:tcPr>
            <w:tcW w:w="3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020" w:type="dxa"/>
            <w:vAlign w:val="bottom"/>
          </w:tcPr>
          <w:p>
            <w:pPr>
              <w:ind w:left="180"/>
              <w:spacing w:after="0" w:line="181" w:lineRule="exact"/>
              <w:rPr>
                <w:sz w:val="20"/>
                <w:szCs w:val="20"/>
                <w:color w:val="auto"/>
              </w:rPr>
            </w:pPr>
            <w:r>
              <w:rPr>
                <w:rFonts w:ascii="Arial" w:cs="Arial" w:eastAsia="Arial" w:hAnsi="Arial"/>
                <w:sz w:val="18"/>
                <w:szCs w:val="18"/>
                <w:color w:val="auto"/>
              </w:rPr>
              <w:t>shares issued and outstanding as of September 26, 2026; no shares issued and</w:t>
            </w:r>
          </w:p>
        </w:tc>
        <w:tc>
          <w:tcPr>
            <w:tcW w:w="380" w:type="dxa"/>
            <w:vAlign w:val="bottom"/>
          </w:tcPr>
          <w:p>
            <w:pPr>
              <w:spacing w:after="0"/>
              <w:rPr>
                <w:sz w:val="15"/>
                <w:szCs w:val="15"/>
                <w:color w:val="auto"/>
              </w:rPr>
            </w:pPr>
          </w:p>
        </w:tc>
        <w:tc>
          <w:tcPr>
            <w:tcW w:w="1800" w:type="dxa"/>
            <w:vAlign w:val="bottom"/>
            <w:vMerge w:val="restart"/>
          </w:tcPr>
          <w:p>
            <w:pPr>
              <w:jc w:val="right"/>
              <w:ind w:right="31"/>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5"/>
                <w:szCs w:val="15"/>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BFBFBF"/>
            </w:tcBorders>
          </w:tcPr>
          <w:p>
            <w:pPr>
              <w:ind w:left="180"/>
              <w:spacing w:after="0"/>
              <w:rPr>
                <w:sz w:val="20"/>
                <w:szCs w:val="20"/>
                <w:color w:val="auto"/>
              </w:rPr>
            </w:pPr>
            <w:r>
              <w:rPr>
                <w:rFonts w:ascii="Arial" w:cs="Arial" w:eastAsia="Arial" w:hAnsi="Arial"/>
                <w:sz w:val="18"/>
                <w:szCs w:val="18"/>
                <w:color w:val="auto"/>
              </w:rPr>
              <w:t>outstanding as of December 31, 2025</w:t>
            </w:r>
          </w:p>
        </w:tc>
        <w:tc>
          <w:tcPr>
            <w:tcW w:w="380" w:type="dxa"/>
            <w:vAlign w:val="bottom"/>
            <w:tcBorders>
              <w:bottom w:val="single" w:sz="8" w:color="BFBFBF"/>
            </w:tcBorders>
          </w:tcPr>
          <w:p>
            <w:pPr>
              <w:spacing w:after="0"/>
              <w:rPr>
                <w:sz w:val="19"/>
                <w:szCs w:val="19"/>
                <w:color w:val="auto"/>
              </w:rPr>
            </w:pPr>
          </w:p>
        </w:tc>
        <w:tc>
          <w:tcPr>
            <w:tcW w:w="1800" w:type="dxa"/>
            <w:vAlign w:val="bottom"/>
            <w:tcBorders>
              <w:bottom w:val="single" w:sz="8" w:color="BFBFBF"/>
            </w:tcBorders>
            <w:vMerge w:val="continue"/>
          </w:tcPr>
          <w:p>
            <w:pPr>
              <w:spacing w:after="0"/>
              <w:rPr>
                <w:sz w:val="19"/>
                <w:szCs w:val="19"/>
                <w:color w:val="auto"/>
              </w:rPr>
            </w:pPr>
          </w:p>
        </w:tc>
        <w:tc>
          <w:tcPr>
            <w:tcW w:w="28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Additional paid-in capital</w:t>
            </w:r>
          </w:p>
        </w:tc>
        <w:tc>
          <w:tcPr>
            <w:tcW w:w="380" w:type="dxa"/>
            <w:vAlign w:val="bottom"/>
            <w:tcBorders>
              <w:bottom w:val="single" w:sz="8" w:color="BFBFBF"/>
            </w:tcBorders>
          </w:tcPr>
          <w:p>
            <w:pPr>
              <w:spacing w:after="0"/>
              <w:rPr>
                <w:sz w:val="19"/>
                <w:szCs w:val="19"/>
                <w:color w:val="auto"/>
              </w:rPr>
            </w:pPr>
          </w:p>
        </w:tc>
        <w:tc>
          <w:tcPr>
            <w:tcW w:w="180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29</w:t>
            </w:r>
          </w:p>
        </w:tc>
        <w:tc>
          <w:tcPr>
            <w:tcW w:w="28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Accumulated deficit</w:t>
            </w:r>
          </w:p>
        </w:tc>
        <w:tc>
          <w:tcPr>
            <w:tcW w:w="380" w:type="dxa"/>
            <w:vAlign w:val="bottom"/>
            <w:tcBorders>
              <w:bottom w:val="single" w:sz="8" w:color="BFBFBF"/>
            </w:tcBorders>
          </w:tcPr>
          <w:p>
            <w:pPr>
              <w:spacing w:after="0"/>
              <w:rPr>
                <w:sz w:val="19"/>
                <w:szCs w:val="19"/>
                <w:color w:val="auto"/>
              </w:rPr>
            </w:pPr>
          </w:p>
        </w:tc>
        <w:tc>
          <w:tcPr>
            <w:tcW w:w="18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(1,804)</w:t>
            </w:r>
          </w:p>
        </w:tc>
        <w:tc>
          <w:tcPr>
            <w:tcW w:w="28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Net Parent investment</w:t>
            </w:r>
          </w:p>
        </w:tc>
        <w:tc>
          <w:tcPr>
            <w:tcW w:w="380" w:type="dxa"/>
            <w:vAlign w:val="bottom"/>
            <w:tcBorders>
              <w:bottom w:val="single" w:sz="8" w:color="BFBFBF"/>
            </w:tcBorders>
          </w:tcPr>
          <w:p>
            <w:pPr>
              <w:spacing w:after="0"/>
              <w:rPr>
                <w:sz w:val="19"/>
                <w:szCs w:val="19"/>
                <w:color w:val="auto"/>
              </w:rPr>
            </w:pPr>
          </w:p>
        </w:tc>
        <w:tc>
          <w:tcPr>
            <w:tcW w:w="1800" w:type="dxa"/>
            <w:vAlign w:val="bottom"/>
            <w:tcBorders>
              <w:bottom w:val="single" w:sz="8" w:color="BFBFBF"/>
            </w:tcBorders>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BFBFBF"/>
            </w:tcBorders>
          </w:tcPr>
          <w:p>
            <w:pPr>
              <w:spacing w:after="0"/>
              <w:rPr>
                <w:sz w:val="19"/>
                <w:szCs w:val="19"/>
                <w:color w:val="auto"/>
              </w:rPr>
            </w:pPr>
          </w:p>
        </w:tc>
        <w:tc>
          <w:tcPr>
            <w:tcW w:w="17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8,609</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Borders>
              <w:bottom w:val="single" w:sz="8" w:color="384348"/>
            </w:tcBorders>
          </w:tcPr>
          <w:p>
            <w:pPr>
              <w:spacing w:after="0"/>
              <w:rPr>
                <w:sz w:val="19"/>
                <w:szCs w:val="19"/>
                <w:color w:val="auto"/>
              </w:rPr>
            </w:pPr>
          </w:p>
        </w:tc>
        <w:tc>
          <w:tcPr>
            <w:tcW w:w="180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(800)</w:t>
            </w:r>
          </w:p>
        </w:tc>
        <w:tc>
          <w:tcPr>
            <w:tcW w:w="280" w:type="dxa"/>
            <w:vAlign w:val="bottom"/>
            <w:tcBorders>
              <w:bottom w:val="single" w:sz="8" w:color="384348"/>
            </w:tcBorders>
          </w:tcPr>
          <w:p>
            <w:pPr>
              <w:spacing w:after="0"/>
              <w:rPr>
                <w:sz w:val="19"/>
                <w:szCs w:val="19"/>
                <w:color w:val="auto"/>
              </w:rPr>
            </w:pPr>
          </w:p>
        </w:tc>
        <w:tc>
          <w:tcPr>
            <w:tcW w:w="174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384348"/>
            </w:tcBorders>
          </w:tcPr>
          <w:p>
            <w:pPr>
              <w:ind w:left="460"/>
              <w:spacing w:after="0"/>
              <w:rPr>
                <w:sz w:val="20"/>
                <w:szCs w:val="20"/>
                <w:color w:val="auto"/>
              </w:rPr>
            </w:pPr>
            <w:r>
              <w:rPr>
                <w:rFonts w:ascii="Arial" w:cs="Arial" w:eastAsia="Arial" w:hAnsi="Arial"/>
                <w:sz w:val="18"/>
                <w:szCs w:val="18"/>
                <w:b w:val="1"/>
                <w:bCs w:val="1"/>
                <w:color w:val="auto"/>
              </w:rPr>
              <w:t>Total (deficit) equity attributable to Aerospace</w:t>
            </w:r>
          </w:p>
        </w:tc>
        <w:tc>
          <w:tcPr>
            <w:tcW w:w="380" w:type="dxa"/>
            <w:vAlign w:val="bottom"/>
            <w:tcBorders>
              <w:bottom w:val="single" w:sz="8" w:color="384348"/>
            </w:tcBorders>
          </w:tcPr>
          <w:p>
            <w:pPr>
              <w:spacing w:after="0"/>
              <w:rPr>
                <w:sz w:val="19"/>
                <w:szCs w:val="19"/>
                <w:color w:val="auto"/>
              </w:rPr>
            </w:pPr>
          </w:p>
        </w:tc>
        <w:tc>
          <w:tcPr>
            <w:tcW w:w="18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(2,572)</w:t>
            </w:r>
          </w:p>
        </w:tc>
        <w:tc>
          <w:tcPr>
            <w:tcW w:w="280" w:type="dxa"/>
            <w:vAlign w:val="bottom"/>
            <w:tcBorders>
              <w:bottom w:val="single" w:sz="8" w:color="384348"/>
            </w:tcBorders>
          </w:tcPr>
          <w:p>
            <w:pPr>
              <w:spacing w:after="0"/>
              <w:rPr>
                <w:sz w:val="19"/>
                <w:szCs w:val="19"/>
                <w:color w:val="auto"/>
              </w:rPr>
            </w:pPr>
          </w:p>
        </w:tc>
        <w:tc>
          <w:tcPr>
            <w:tcW w:w="17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8,399</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Noncontrolling interests</w:t>
            </w:r>
          </w:p>
        </w:tc>
        <w:tc>
          <w:tcPr>
            <w:tcW w:w="380" w:type="dxa"/>
            <w:vAlign w:val="bottom"/>
            <w:tcBorders>
              <w:bottom w:val="single" w:sz="8" w:color="384348"/>
            </w:tcBorders>
          </w:tcPr>
          <w:p>
            <w:pPr>
              <w:spacing w:after="0"/>
              <w:rPr>
                <w:sz w:val="19"/>
                <w:szCs w:val="19"/>
                <w:color w:val="auto"/>
              </w:rPr>
            </w:pPr>
          </w:p>
        </w:tc>
        <w:tc>
          <w:tcPr>
            <w:tcW w:w="18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color w:val="auto"/>
              </w:rPr>
              <w:t>83</w:t>
            </w:r>
          </w:p>
        </w:tc>
        <w:tc>
          <w:tcPr>
            <w:tcW w:w="280" w:type="dxa"/>
            <w:vAlign w:val="bottom"/>
            <w:tcBorders>
              <w:bottom w:val="single" w:sz="8" w:color="384348"/>
            </w:tcBorders>
          </w:tcPr>
          <w:p>
            <w:pPr>
              <w:spacing w:after="0"/>
              <w:rPr>
                <w:sz w:val="19"/>
                <w:szCs w:val="19"/>
                <w:color w:val="auto"/>
              </w:rPr>
            </w:pPr>
          </w:p>
        </w:tc>
        <w:tc>
          <w:tcPr>
            <w:tcW w:w="174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384348"/>
            </w:tcBorders>
          </w:tcPr>
          <w:p>
            <w:pPr>
              <w:ind w:left="460"/>
              <w:spacing w:after="0"/>
              <w:rPr>
                <w:sz w:val="20"/>
                <w:szCs w:val="20"/>
                <w:color w:val="auto"/>
              </w:rPr>
            </w:pPr>
            <w:r>
              <w:rPr>
                <w:rFonts w:ascii="Arial" w:cs="Arial" w:eastAsia="Arial" w:hAnsi="Arial"/>
                <w:sz w:val="18"/>
                <w:szCs w:val="18"/>
                <w:b w:val="1"/>
                <w:bCs w:val="1"/>
                <w:color w:val="auto"/>
              </w:rPr>
              <w:t>Total (deficit) equity</w:t>
            </w:r>
          </w:p>
        </w:tc>
        <w:tc>
          <w:tcPr>
            <w:tcW w:w="380" w:type="dxa"/>
            <w:vAlign w:val="bottom"/>
            <w:tcBorders>
              <w:bottom w:val="single" w:sz="8" w:color="384348"/>
            </w:tcBorders>
          </w:tcPr>
          <w:p>
            <w:pPr>
              <w:spacing w:after="0"/>
              <w:rPr>
                <w:sz w:val="19"/>
                <w:szCs w:val="19"/>
                <w:color w:val="auto"/>
              </w:rPr>
            </w:pPr>
          </w:p>
        </w:tc>
        <w:tc>
          <w:tcPr>
            <w:tcW w:w="18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(2,489)</w:t>
            </w:r>
          </w:p>
        </w:tc>
        <w:tc>
          <w:tcPr>
            <w:tcW w:w="280" w:type="dxa"/>
            <w:vAlign w:val="bottom"/>
            <w:tcBorders>
              <w:bottom w:val="single" w:sz="8" w:color="384348"/>
            </w:tcBorders>
          </w:tcPr>
          <w:p>
            <w:pPr>
              <w:spacing w:after="0"/>
              <w:rPr>
                <w:sz w:val="19"/>
                <w:szCs w:val="19"/>
                <w:color w:val="auto"/>
              </w:rPr>
            </w:pPr>
          </w:p>
        </w:tc>
        <w:tc>
          <w:tcPr>
            <w:tcW w:w="17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8,496</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384348"/>
            </w:tcBorders>
          </w:tcPr>
          <w:p>
            <w:pPr>
              <w:ind w:left="460"/>
              <w:spacing w:after="0"/>
              <w:rPr>
                <w:sz w:val="20"/>
                <w:szCs w:val="20"/>
                <w:color w:val="auto"/>
              </w:rPr>
            </w:pPr>
            <w:r>
              <w:rPr>
                <w:rFonts w:ascii="Arial" w:cs="Arial" w:eastAsia="Arial" w:hAnsi="Arial"/>
                <w:sz w:val="18"/>
                <w:szCs w:val="18"/>
                <w:b w:val="1"/>
                <w:bCs w:val="1"/>
                <w:color w:val="auto"/>
              </w:rPr>
              <w:t>Total liabilities and (deficit) equity</w:t>
            </w:r>
          </w:p>
        </w:tc>
        <w:tc>
          <w:tcPr>
            <w:tcW w:w="380" w:type="dxa"/>
            <w:vAlign w:val="bottom"/>
            <w:tcBorders>
              <w:bottom w:val="single" w:sz="8" w:color="384348"/>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800" w:type="dxa"/>
            <w:vAlign w:val="bottom"/>
            <w:tcBorders>
              <w:bottom w:val="single" w:sz="8" w:color="384348"/>
            </w:tcBorders>
          </w:tcPr>
          <w:p>
            <w:pPr>
              <w:jc w:val="right"/>
              <w:ind w:right="31"/>
              <w:spacing w:after="0"/>
              <w:rPr>
                <w:sz w:val="20"/>
                <w:szCs w:val="20"/>
                <w:color w:val="auto"/>
              </w:rPr>
            </w:pPr>
            <w:r>
              <w:rPr>
                <w:rFonts w:ascii="Arial" w:cs="Arial" w:eastAsia="Arial" w:hAnsi="Arial"/>
                <w:sz w:val="18"/>
                <w:szCs w:val="18"/>
                <w:b w:val="1"/>
                <w:bCs w:val="1"/>
                <w:color w:val="auto"/>
              </w:rPr>
              <w:t>23,032</w:t>
            </w:r>
          </w:p>
        </w:tc>
        <w:tc>
          <w:tcPr>
            <w:tcW w:w="280" w:type="dxa"/>
            <w:vAlign w:val="bottom"/>
            <w:tcBorders>
              <w:bottom w:val="single" w:sz="8" w:color="384348"/>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7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17,685</w:t>
            </w:r>
          </w:p>
        </w:tc>
        <w:tc>
          <w:tcPr>
            <w:tcW w:w="0" w:type="dxa"/>
            <w:vAlign w:val="bottom"/>
          </w:tcPr>
          <w:p>
            <w:pPr>
              <w:spacing w:after="0"/>
              <w:rPr>
                <w:sz w:val="1"/>
                <w:szCs w:val="1"/>
                <w:color w:val="auto"/>
              </w:rPr>
            </w:pPr>
          </w:p>
        </w:tc>
      </w:tr>
    </w:tbl>
    <w:p>
      <w:pPr>
        <w:sectPr>
          <w:pgSz w:w="11900" w:h="16838" w:orient="portrait"/>
          <w:cols w:equalWidth="0" w:num="1">
            <w:col w:w="11220"/>
          </w:cols>
          <w:pgMar w:left="320" w:top="364"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Honeywell Aerospace 3Q26 Results - 7</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Honeywell Aerospace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5640" w:type="dxa"/>
            <w:vAlign w:val="bottom"/>
          </w:tcPr>
          <w:p>
            <w:pPr>
              <w:spacing w:after="0"/>
              <w:rPr>
                <w:sz w:val="17"/>
                <w:szCs w:val="17"/>
                <w:color w:val="auto"/>
              </w:rPr>
            </w:pPr>
          </w:p>
        </w:tc>
        <w:tc>
          <w:tcPr>
            <w:tcW w:w="140" w:type="dxa"/>
            <w:vAlign w:val="bottom"/>
            <w:tcBorders>
              <w:bottom w:val="single" w:sz="8" w:color="FF4400"/>
            </w:tcBorders>
          </w:tcPr>
          <w:p>
            <w:pPr>
              <w:spacing w:after="0"/>
              <w:rPr>
                <w:sz w:val="17"/>
                <w:szCs w:val="17"/>
                <w:color w:val="auto"/>
              </w:rPr>
            </w:pPr>
          </w:p>
        </w:tc>
        <w:tc>
          <w:tcPr>
            <w:tcW w:w="2600" w:type="dxa"/>
            <w:vAlign w:val="bottom"/>
            <w:tcBorders>
              <w:bottom w:val="single" w:sz="8" w:color="FF4400"/>
            </w:tcBorders>
            <w:gridSpan w:val="3"/>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140" w:type="dxa"/>
            <w:vAlign w:val="bottom"/>
            <w:tcBorders>
              <w:bottom w:val="single" w:sz="8" w:color="FF4400"/>
            </w:tcBorders>
          </w:tcPr>
          <w:p>
            <w:pPr>
              <w:spacing w:after="0"/>
              <w:rPr>
                <w:sz w:val="17"/>
                <w:szCs w:val="17"/>
                <w:color w:val="auto"/>
              </w:rPr>
            </w:pPr>
          </w:p>
        </w:tc>
        <w:tc>
          <w:tcPr>
            <w:tcW w:w="2600" w:type="dxa"/>
            <w:vAlign w:val="bottom"/>
            <w:tcBorders>
              <w:bottom w:val="single" w:sz="8" w:color="FF4400"/>
            </w:tcBorders>
            <w:gridSpan w:val="3"/>
          </w:tcPr>
          <w:p>
            <w:pPr>
              <w:jc w:val="right"/>
              <w:ind w:right="611"/>
              <w:spacing w:after="0"/>
              <w:rPr>
                <w:sz w:val="20"/>
                <w:szCs w:val="20"/>
                <w:color w:val="auto"/>
              </w:rPr>
            </w:pPr>
            <w:r>
              <w:rPr>
                <w:rFonts w:ascii="Arial" w:cs="Arial" w:eastAsia="Arial" w:hAnsi="Arial"/>
                <w:sz w:val="14"/>
                <w:szCs w:val="14"/>
                <w:b w:val="1"/>
                <w:bCs w:val="1"/>
                <w:color w:val="auto"/>
              </w:rPr>
              <w:t>Nine Months Ended</w:t>
            </w:r>
          </w:p>
        </w:tc>
      </w:tr>
      <w:tr>
        <w:trPr>
          <w:trHeight w:val="147"/>
        </w:trPr>
        <w:tc>
          <w:tcPr>
            <w:tcW w:w="5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right"/>
              <w:ind w:right="112"/>
              <w:spacing w:after="0" w:line="147" w:lineRule="exact"/>
              <w:rPr>
                <w:sz w:val="20"/>
                <w:szCs w:val="20"/>
                <w:color w:val="auto"/>
              </w:rPr>
            </w:pPr>
            <w:r>
              <w:rPr>
                <w:rFonts w:ascii="Arial" w:cs="Arial" w:eastAsia="Arial" w:hAnsi="Arial"/>
                <w:sz w:val="14"/>
                <w:szCs w:val="14"/>
                <w:b w:val="1"/>
                <w:bCs w:val="1"/>
                <w:color w:val="auto"/>
              </w:rPr>
              <w:t>September 26,</w:t>
            </w:r>
          </w:p>
        </w:tc>
        <w:tc>
          <w:tcPr>
            <w:tcW w:w="200" w:type="dxa"/>
            <w:vAlign w:val="bottom"/>
          </w:tcPr>
          <w:p>
            <w:pPr>
              <w:spacing w:after="0"/>
              <w:rPr>
                <w:sz w:val="12"/>
                <w:szCs w:val="12"/>
                <w:color w:val="auto"/>
              </w:rPr>
            </w:pPr>
          </w:p>
        </w:tc>
        <w:tc>
          <w:tcPr>
            <w:tcW w:w="12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September 27,</w:t>
            </w:r>
          </w:p>
        </w:tc>
        <w:tc>
          <w:tcPr>
            <w:tcW w:w="140" w:type="dxa"/>
            <w:vAlign w:val="bottom"/>
          </w:tcPr>
          <w:p>
            <w:pPr>
              <w:spacing w:after="0"/>
              <w:rPr>
                <w:sz w:val="12"/>
                <w:szCs w:val="12"/>
                <w:color w:val="auto"/>
              </w:rPr>
            </w:pPr>
          </w:p>
        </w:tc>
        <w:tc>
          <w:tcPr>
            <w:tcW w:w="1220" w:type="dxa"/>
            <w:vAlign w:val="bottom"/>
          </w:tcPr>
          <w:p>
            <w:pPr>
              <w:jc w:val="right"/>
              <w:ind w:right="132"/>
              <w:spacing w:after="0" w:line="147" w:lineRule="exact"/>
              <w:rPr>
                <w:sz w:val="20"/>
                <w:szCs w:val="20"/>
                <w:color w:val="auto"/>
              </w:rPr>
            </w:pPr>
            <w:r>
              <w:rPr>
                <w:rFonts w:ascii="Arial" w:cs="Arial" w:eastAsia="Arial" w:hAnsi="Arial"/>
                <w:sz w:val="14"/>
                <w:szCs w:val="14"/>
                <w:b w:val="1"/>
                <w:bCs w:val="1"/>
                <w:color w:val="auto"/>
              </w:rPr>
              <w:t>September 26,</w:t>
            </w:r>
          </w:p>
        </w:tc>
        <w:tc>
          <w:tcPr>
            <w:tcW w:w="200" w:type="dxa"/>
            <w:vAlign w:val="bottom"/>
          </w:tcPr>
          <w:p>
            <w:pPr>
              <w:spacing w:after="0"/>
              <w:rPr>
                <w:sz w:val="12"/>
                <w:szCs w:val="12"/>
                <w:color w:val="auto"/>
              </w:rPr>
            </w:pPr>
          </w:p>
        </w:tc>
        <w:tc>
          <w:tcPr>
            <w:tcW w:w="1180" w:type="dxa"/>
            <w:vAlign w:val="bottom"/>
          </w:tcPr>
          <w:p>
            <w:pPr>
              <w:jc w:val="right"/>
              <w:ind w:right="91"/>
              <w:spacing w:after="0" w:line="147" w:lineRule="exact"/>
              <w:rPr>
                <w:sz w:val="20"/>
                <w:szCs w:val="20"/>
                <w:color w:val="auto"/>
              </w:rPr>
            </w:pPr>
            <w:r>
              <w:rPr>
                <w:rFonts w:ascii="Arial" w:cs="Arial" w:eastAsia="Arial" w:hAnsi="Arial"/>
                <w:sz w:val="14"/>
                <w:szCs w:val="14"/>
                <w:b w:val="1"/>
                <w:bCs w:val="1"/>
                <w:color w:val="auto"/>
              </w:rPr>
              <w:t>September 27,</w:t>
            </w:r>
          </w:p>
        </w:tc>
      </w:tr>
      <w:tr>
        <w:trPr>
          <w:trHeight w:val="185"/>
        </w:trPr>
        <w:tc>
          <w:tcPr>
            <w:tcW w:w="5640" w:type="dxa"/>
            <w:vAlign w:val="bottom"/>
            <w:tcBorders>
              <w:bottom w:val="single" w:sz="8" w:color="FF4400"/>
            </w:tcBorders>
          </w:tcPr>
          <w:p>
            <w:pPr>
              <w:spacing w:after="0"/>
              <w:rPr>
                <w:sz w:val="16"/>
                <w:szCs w:val="16"/>
                <w:color w:val="auto"/>
              </w:rPr>
            </w:pPr>
          </w:p>
        </w:tc>
        <w:tc>
          <w:tcPr>
            <w:tcW w:w="140" w:type="dxa"/>
            <w:vAlign w:val="bottom"/>
            <w:tcBorders>
              <w:bottom w:val="single" w:sz="8" w:color="FF4400"/>
            </w:tcBorders>
          </w:tcPr>
          <w:p>
            <w:pPr>
              <w:spacing w:after="0"/>
              <w:rPr>
                <w:sz w:val="16"/>
                <w:szCs w:val="16"/>
                <w:color w:val="auto"/>
              </w:rPr>
            </w:pPr>
          </w:p>
        </w:tc>
        <w:tc>
          <w:tcPr>
            <w:tcW w:w="1220" w:type="dxa"/>
            <w:vAlign w:val="bottom"/>
            <w:tcBorders>
              <w:bottom w:val="single" w:sz="8" w:color="FF4400"/>
            </w:tcBorders>
          </w:tcPr>
          <w:p>
            <w:pPr>
              <w:jc w:val="right"/>
              <w:ind w:right="452"/>
              <w:spacing w:after="0"/>
              <w:rPr>
                <w:sz w:val="20"/>
                <w:szCs w:val="20"/>
                <w:color w:val="auto"/>
              </w:rPr>
            </w:pPr>
            <w:r>
              <w:rPr>
                <w:rFonts w:ascii="Arial" w:cs="Arial" w:eastAsia="Arial" w:hAnsi="Arial"/>
                <w:sz w:val="14"/>
                <w:szCs w:val="14"/>
                <w:b w:val="1"/>
                <w:bCs w:val="1"/>
                <w:color w:val="auto"/>
              </w:rPr>
              <w:t>2026</w:t>
            </w:r>
          </w:p>
        </w:tc>
        <w:tc>
          <w:tcPr>
            <w:tcW w:w="200" w:type="dxa"/>
            <w:vAlign w:val="bottom"/>
            <w:tcBorders>
              <w:bottom w:val="single" w:sz="8" w:color="FF4400"/>
            </w:tcBorders>
          </w:tcPr>
          <w:p>
            <w:pPr>
              <w:spacing w:after="0"/>
              <w:rPr>
                <w:sz w:val="16"/>
                <w:szCs w:val="16"/>
                <w:color w:val="auto"/>
              </w:rPr>
            </w:pPr>
          </w:p>
        </w:tc>
        <w:tc>
          <w:tcPr>
            <w:tcW w:w="1180" w:type="dxa"/>
            <w:vAlign w:val="bottom"/>
            <w:tcBorders>
              <w:bottom w:val="single" w:sz="8" w:color="FF4400"/>
            </w:tcBorders>
          </w:tcPr>
          <w:p>
            <w:pPr>
              <w:jc w:val="right"/>
              <w:ind w:right="41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FF4400"/>
            </w:tcBorders>
          </w:tcPr>
          <w:p>
            <w:pPr>
              <w:spacing w:after="0"/>
              <w:rPr>
                <w:sz w:val="16"/>
                <w:szCs w:val="16"/>
                <w:color w:val="auto"/>
              </w:rPr>
            </w:pPr>
          </w:p>
        </w:tc>
        <w:tc>
          <w:tcPr>
            <w:tcW w:w="140" w:type="dxa"/>
            <w:vAlign w:val="bottom"/>
            <w:tcBorders>
              <w:bottom w:val="single" w:sz="8" w:color="FF4400"/>
            </w:tcBorders>
          </w:tcPr>
          <w:p>
            <w:pPr>
              <w:spacing w:after="0"/>
              <w:rPr>
                <w:sz w:val="16"/>
                <w:szCs w:val="16"/>
                <w:color w:val="auto"/>
              </w:rPr>
            </w:pPr>
          </w:p>
        </w:tc>
        <w:tc>
          <w:tcPr>
            <w:tcW w:w="1220" w:type="dxa"/>
            <w:vAlign w:val="bottom"/>
            <w:tcBorders>
              <w:bottom w:val="single" w:sz="8" w:color="FF4400"/>
            </w:tcBorders>
          </w:tcPr>
          <w:p>
            <w:pPr>
              <w:jc w:val="right"/>
              <w:ind w:right="452"/>
              <w:spacing w:after="0"/>
              <w:rPr>
                <w:sz w:val="20"/>
                <w:szCs w:val="20"/>
                <w:color w:val="auto"/>
              </w:rPr>
            </w:pPr>
            <w:r>
              <w:rPr>
                <w:rFonts w:ascii="Arial" w:cs="Arial" w:eastAsia="Arial" w:hAnsi="Arial"/>
                <w:sz w:val="14"/>
                <w:szCs w:val="14"/>
                <w:b w:val="1"/>
                <w:bCs w:val="1"/>
                <w:color w:val="auto"/>
              </w:rPr>
              <w:t>2026</w:t>
            </w:r>
          </w:p>
        </w:tc>
        <w:tc>
          <w:tcPr>
            <w:tcW w:w="200" w:type="dxa"/>
            <w:vAlign w:val="bottom"/>
            <w:tcBorders>
              <w:bottom w:val="single" w:sz="8" w:color="FF4400"/>
            </w:tcBorders>
          </w:tcPr>
          <w:p>
            <w:pPr>
              <w:spacing w:after="0"/>
              <w:rPr>
                <w:sz w:val="16"/>
                <w:szCs w:val="16"/>
                <w:color w:val="auto"/>
              </w:rPr>
            </w:pPr>
          </w:p>
        </w:tc>
        <w:tc>
          <w:tcPr>
            <w:tcW w:w="1180" w:type="dxa"/>
            <w:vAlign w:val="bottom"/>
            <w:tcBorders>
              <w:bottom w:val="single" w:sz="8" w:color="FF4400"/>
            </w:tcBorders>
          </w:tcPr>
          <w:p>
            <w:pPr>
              <w:jc w:val="right"/>
              <w:ind w:right="411"/>
              <w:spacing w:after="0"/>
              <w:rPr>
                <w:sz w:val="20"/>
                <w:szCs w:val="20"/>
                <w:color w:val="auto"/>
              </w:rPr>
            </w:pPr>
            <w:r>
              <w:rPr>
                <w:rFonts w:ascii="Arial" w:cs="Arial" w:eastAsia="Arial" w:hAnsi="Arial"/>
                <w:sz w:val="14"/>
                <w:szCs w:val="14"/>
                <w:b w:val="1"/>
                <w:bCs w:val="1"/>
                <w:color w:val="auto"/>
              </w:rPr>
              <w:t>2025</w:t>
            </w:r>
          </w:p>
        </w:tc>
      </w:tr>
      <w:tr>
        <w:trPr>
          <w:trHeight w:val="223"/>
        </w:trPr>
        <w:tc>
          <w:tcPr>
            <w:tcW w:w="5640" w:type="dxa"/>
            <w:vAlign w:val="bottom"/>
            <w:tcBorders>
              <w:bottom w:val="single" w:sz="8" w:color="BFBFBF"/>
            </w:tcBorders>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spacing w:after="0"/>
              <w:rPr>
                <w:sz w:val="19"/>
                <w:szCs w:val="19"/>
                <w:color w:val="auto"/>
              </w:rPr>
            </w:pP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spacing w:after="0"/>
              <w:rPr>
                <w:sz w:val="19"/>
                <w:szCs w:val="19"/>
                <w:color w:val="auto"/>
              </w:rPr>
            </w:pPr>
          </w:p>
        </w:tc>
        <w:tc>
          <w:tcPr>
            <w:tcW w:w="100" w:type="dxa"/>
            <w:vAlign w:val="bottom"/>
            <w:tcBorders>
              <w:bottom w:val="single" w:sz="8" w:color="BFBFBF"/>
            </w:tcBorders>
          </w:tcPr>
          <w:p>
            <w:pPr>
              <w:spacing w:after="0"/>
              <w:rPr>
                <w:sz w:val="19"/>
                <w:szCs w:val="19"/>
                <w:color w:val="auto"/>
              </w:rPr>
            </w:pP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spacing w:after="0"/>
              <w:rPr>
                <w:sz w:val="19"/>
                <w:szCs w:val="19"/>
                <w:color w:val="auto"/>
              </w:rPr>
            </w:pP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spacing w:after="0"/>
              <w:rPr>
                <w:sz w:val="19"/>
                <w:szCs w:val="19"/>
                <w:color w:val="auto"/>
              </w:rPr>
            </w:pPr>
          </w:p>
        </w:tc>
      </w:tr>
      <w:tr>
        <w:trPr>
          <w:trHeight w:val="223"/>
        </w:trPr>
        <w:tc>
          <w:tcPr>
            <w:tcW w:w="56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737</w:t>
            </w:r>
          </w:p>
        </w:tc>
        <w:tc>
          <w:tcPr>
            <w:tcW w:w="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BFBFBF"/>
            </w:tcBorders>
          </w:tcPr>
          <w:p>
            <w:pPr>
              <w:spacing w:after="0"/>
              <w:rPr>
                <w:sz w:val="19"/>
                <w:szCs w:val="19"/>
                <w:color w:val="auto"/>
              </w:rPr>
            </w:pPr>
          </w:p>
        </w:tc>
        <w:tc>
          <w:tcPr>
            <w:tcW w:w="1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1,635</w:t>
            </w:r>
          </w:p>
        </w:tc>
        <w:tc>
          <w:tcPr>
            <w:tcW w:w="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2,292</w:t>
            </w:r>
          </w:p>
        </w:tc>
      </w:tr>
      <w:tr>
        <w:trPr>
          <w:trHeight w:val="169"/>
        </w:trPr>
        <w:tc>
          <w:tcPr>
            <w:tcW w:w="5640" w:type="dxa"/>
            <w:vAlign w:val="bottom"/>
          </w:tcPr>
          <w:p>
            <w:pPr>
              <w:ind w:left="20"/>
              <w:spacing w:after="0" w:line="169" w:lineRule="exact"/>
              <w:rPr>
                <w:sz w:val="20"/>
                <w:szCs w:val="20"/>
                <w:color w:val="auto"/>
              </w:rPr>
            </w:pPr>
            <w:r>
              <w:rPr>
                <w:rFonts w:ascii="Arial" w:cs="Arial" w:eastAsia="Arial" w:hAnsi="Arial"/>
                <w:sz w:val="18"/>
                <w:szCs w:val="18"/>
                <w:color w:val="auto"/>
                <w:w w:val="99"/>
              </w:rPr>
              <w:t>Adjustments to reconcile net income to net cash provided by operating</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41"/>
        </w:trPr>
        <w:tc>
          <w:tcPr>
            <w:tcW w:w="5640" w:type="dxa"/>
            <w:vAlign w:val="bottom"/>
            <w:tcBorders>
              <w:bottom w:val="single" w:sz="8" w:color="BFBFBF"/>
            </w:tcBorders>
          </w:tcPr>
          <w:p>
            <w:pPr>
              <w:ind w:left="180"/>
              <w:spacing w:after="0"/>
              <w:rPr>
                <w:sz w:val="20"/>
                <w:szCs w:val="20"/>
                <w:color w:val="auto"/>
              </w:rPr>
            </w:pPr>
            <w:r>
              <w:rPr>
                <w:rFonts w:ascii="Arial" w:cs="Arial" w:eastAsia="Arial" w:hAnsi="Arial"/>
                <w:sz w:val="18"/>
                <w:szCs w:val="18"/>
                <w:color w:val="auto"/>
              </w:rPr>
              <w:t>activities:</w:t>
            </w:r>
          </w:p>
        </w:tc>
        <w:tc>
          <w:tcPr>
            <w:tcW w:w="140" w:type="dxa"/>
            <w:vAlign w:val="bottom"/>
            <w:tcBorders>
              <w:bottom w:val="single" w:sz="8" w:color="BFBFBF"/>
            </w:tcBorders>
          </w:tcPr>
          <w:p>
            <w:pPr>
              <w:spacing w:after="0"/>
              <w:rPr>
                <w:sz w:val="20"/>
                <w:szCs w:val="20"/>
                <w:color w:val="auto"/>
              </w:rPr>
            </w:pPr>
          </w:p>
        </w:tc>
        <w:tc>
          <w:tcPr>
            <w:tcW w:w="1220" w:type="dxa"/>
            <w:vAlign w:val="bottom"/>
            <w:tcBorders>
              <w:bottom w:val="single" w:sz="8" w:color="BFBFBF"/>
            </w:tcBorders>
          </w:tcPr>
          <w:p>
            <w:pPr>
              <w:spacing w:after="0"/>
              <w:rPr>
                <w:sz w:val="20"/>
                <w:szCs w:val="20"/>
                <w:color w:val="auto"/>
              </w:rPr>
            </w:pPr>
          </w:p>
        </w:tc>
        <w:tc>
          <w:tcPr>
            <w:tcW w:w="200" w:type="dxa"/>
            <w:vAlign w:val="bottom"/>
            <w:tcBorders>
              <w:bottom w:val="single" w:sz="8" w:color="BFBFBF"/>
            </w:tcBorders>
          </w:tcPr>
          <w:p>
            <w:pPr>
              <w:spacing w:after="0"/>
              <w:rPr>
                <w:sz w:val="20"/>
                <w:szCs w:val="20"/>
                <w:color w:val="auto"/>
              </w:rPr>
            </w:pPr>
          </w:p>
        </w:tc>
        <w:tc>
          <w:tcPr>
            <w:tcW w:w="1180" w:type="dxa"/>
            <w:vAlign w:val="bottom"/>
            <w:tcBorders>
              <w:bottom w:val="single" w:sz="8" w:color="BFBFBF"/>
            </w:tcBorders>
          </w:tcPr>
          <w:p>
            <w:pPr>
              <w:spacing w:after="0"/>
              <w:rPr>
                <w:sz w:val="20"/>
                <w:szCs w:val="20"/>
                <w:color w:val="auto"/>
              </w:rPr>
            </w:pPr>
          </w:p>
        </w:tc>
        <w:tc>
          <w:tcPr>
            <w:tcW w:w="100" w:type="dxa"/>
            <w:vAlign w:val="bottom"/>
            <w:tcBorders>
              <w:bottom w:val="single" w:sz="8" w:color="BFBFBF"/>
            </w:tcBorders>
          </w:tcPr>
          <w:p>
            <w:pPr>
              <w:spacing w:after="0"/>
              <w:rPr>
                <w:sz w:val="20"/>
                <w:szCs w:val="20"/>
                <w:color w:val="auto"/>
              </w:rPr>
            </w:pPr>
          </w:p>
        </w:tc>
        <w:tc>
          <w:tcPr>
            <w:tcW w:w="140" w:type="dxa"/>
            <w:vAlign w:val="bottom"/>
            <w:tcBorders>
              <w:bottom w:val="single" w:sz="8" w:color="BFBFBF"/>
            </w:tcBorders>
          </w:tcPr>
          <w:p>
            <w:pPr>
              <w:spacing w:after="0"/>
              <w:rPr>
                <w:sz w:val="20"/>
                <w:szCs w:val="20"/>
                <w:color w:val="auto"/>
              </w:rPr>
            </w:pPr>
          </w:p>
        </w:tc>
        <w:tc>
          <w:tcPr>
            <w:tcW w:w="1220" w:type="dxa"/>
            <w:vAlign w:val="bottom"/>
            <w:tcBorders>
              <w:bottom w:val="single" w:sz="8" w:color="BFBFBF"/>
            </w:tcBorders>
          </w:tcPr>
          <w:p>
            <w:pPr>
              <w:spacing w:after="0"/>
              <w:rPr>
                <w:sz w:val="20"/>
                <w:szCs w:val="20"/>
                <w:color w:val="auto"/>
              </w:rPr>
            </w:pPr>
          </w:p>
        </w:tc>
        <w:tc>
          <w:tcPr>
            <w:tcW w:w="200" w:type="dxa"/>
            <w:vAlign w:val="bottom"/>
            <w:tcBorders>
              <w:bottom w:val="single" w:sz="8" w:color="BFBFBF"/>
            </w:tcBorders>
          </w:tcPr>
          <w:p>
            <w:pPr>
              <w:spacing w:after="0"/>
              <w:rPr>
                <w:sz w:val="20"/>
                <w:szCs w:val="20"/>
                <w:color w:val="auto"/>
              </w:rPr>
            </w:pPr>
          </w:p>
        </w:tc>
        <w:tc>
          <w:tcPr>
            <w:tcW w:w="1180" w:type="dxa"/>
            <w:vAlign w:val="bottom"/>
            <w:tcBorders>
              <w:bottom w:val="single" w:sz="8" w:color="BFBFBF"/>
            </w:tcBorders>
          </w:tcPr>
          <w:p>
            <w:pPr>
              <w:spacing w:after="0"/>
              <w:rPr>
                <w:sz w:val="20"/>
                <w:szCs w:val="20"/>
                <w:color w:val="auto"/>
              </w:rPr>
            </w:pPr>
          </w:p>
        </w:tc>
      </w:tr>
      <w:tr>
        <w:trPr>
          <w:trHeight w:val="225"/>
        </w:trPr>
        <w:tc>
          <w:tcPr>
            <w:tcW w:w="5640" w:type="dxa"/>
            <w:vAlign w:val="bottom"/>
            <w:tcBorders>
              <w:bottom w:val="single" w:sz="8" w:color="BFBFBF"/>
            </w:tcBorders>
          </w:tcPr>
          <w:p>
            <w:pPr>
              <w:ind w:left="440"/>
              <w:spacing w:after="0"/>
              <w:rPr>
                <w:sz w:val="20"/>
                <w:szCs w:val="20"/>
                <w:color w:val="auto"/>
              </w:rPr>
            </w:pPr>
            <w:r>
              <w:rPr>
                <w:rFonts w:ascii="Arial" w:cs="Arial" w:eastAsia="Arial" w:hAnsi="Arial"/>
                <w:sz w:val="18"/>
                <w:szCs w:val="18"/>
                <w:color w:val="auto"/>
              </w:rPr>
              <w:t>Depreciation</w:t>
            </w: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69</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BFBFBF"/>
            </w:tcBorders>
          </w:tcPr>
          <w:p>
            <w:pPr>
              <w:spacing w:after="0"/>
              <w:rPr>
                <w:sz w:val="19"/>
                <w:szCs w:val="19"/>
                <w:color w:val="auto"/>
              </w:rPr>
            </w:pP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214</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204</w:t>
            </w:r>
          </w:p>
        </w:tc>
      </w:tr>
      <w:tr>
        <w:trPr>
          <w:trHeight w:val="223"/>
        </w:trPr>
        <w:tc>
          <w:tcPr>
            <w:tcW w:w="5640" w:type="dxa"/>
            <w:vAlign w:val="bottom"/>
            <w:tcBorders>
              <w:bottom w:val="single" w:sz="8" w:color="BFBFBF"/>
            </w:tcBorders>
          </w:tcPr>
          <w:p>
            <w:pPr>
              <w:ind w:left="440"/>
              <w:spacing w:after="0"/>
              <w:rPr>
                <w:sz w:val="20"/>
                <w:szCs w:val="20"/>
                <w:color w:val="auto"/>
              </w:rPr>
            </w:pPr>
            <w:r>
              <w:rPr>
                <w:rFonts w:ascii="Arial" w:cs="Arial" w:eastAsia="Arial" w:hAnsi="Arial"/>
                <w:sz w:val="18"/>
                <w:szCs w:val="18"/>
                <w:color w:val="auto"/>
              </w:rPr>
              <w:t>Amortization</w:t>
            </w: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53</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BFBFBF"/>
            </w:tcBorders>
          </w:tcPr>
          <w:p>
            <w:pPr>
              <w:spacing w:after="0"/>
              <w:rPr>
                <w:sz w:val="19"/>
                <w:szCs w:val="19"/>
                <w:color w:val="auto"/>
              </w:rPr>
            </w:pP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141</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5640" w:type="dxa"/>
            <w:vAlign w:val="bottom"/>
            <w:tcBorders>
              <w:bottom w:val="single" w:sz="8" w:color="BFBFBF"/>
            </w:tcBorders>
          </w:tcPr>
          <w:p>
            <w:pPr>
              <w:ind w:left="440"/>
              <w:spacing w:after="0"/>
              <w:rPr>
                <w:sz w:val="20"/>
                <w:szCs w:val="20"/>
                <w:color w:val="auto"/>
              </w:rPr>
            </w:pPr>
            <w:r>
              <w:rPr>
                <w:rFonts w:ascii="Arial" w:cs="Arial" w:eastAsia="Arial" w:hAnsi="Arial"/>
                <w:sz w:val="18"/>
                <w:szCs w:val="18"/>
                <w:color w:val="auto"/>
              </w:rPr>
              <w:t>Pension (income) expense</w:t>
            </w: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(76)</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BFBFBF"/>
            </w:tcBorders>
          </w:tcPr>
          <w:p>
            <w:pPr>
              <w:spacing w:after="0"/>
              <w:rPr>
                <w:sz w:val="19"/>
                <w:szCs w:val="19"/>
                <w:color w:val="auto"/>
              </w:rPr>
            </w:pP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640" w:type="dxa"/>
            <w:vAlign w:val="bottom"/>
            <w:tcBorders>
              <w:bottom w:val="single" w:sz="8" w:color="BFBFBF"/>
            </w:tcBorders>
          </w:tcPr>
          <w:p>
            <w:pPr>
              <w:ind w:left="440"/>
              <w:spacing w:after="0"/>
              <w:rPr>
                <w:sz w:val="20"/>
                <w:szCs w:val="20"/>
                <w:color w:val="auto"/>
              </w:rPr>
            </w:pPr>
            <w:r>
              <w:rPr>
                <w:rFonts w:ascii="Arial" w:cs="Arial" w:eastAsia="Arial" w:hAnsi="Arial"/>
                <w:sz w:val="18"/>
                <w:szCs w:val="18"/>
                <w:color w:val="auto"/>
              </w:rPr>
              <w:t>Stock compensation expense</w:t>
            </w: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BFBFBF"/>
            </w:tcBorders>
          </w:tcPr>
          <w:p>
            <w:pPr>
              <w:spacing w:after="0"/>
              <w:rPr>
                <w:sz w:val="19"/>
                <w:szCs w:val="19"/>
                <w:color w:val="auto"/>
              </w:rPr>
            </w:pP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89</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5640" w:type="dxa"/>
            <w:vAlign w:val="bottom"/>
            <w:tcBorders>
              <w:bottom w:val="single" w:sz="8" w:color="BFBFBF"/>
            </w:tcBorders>
          </w:tcPr>
          <w:p>
            <w:pPr>
              <w:ind w:left="44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BFBFBF"/>
            </w:tcBorders>
          </w:tcPr>
          <w:p>
            <w:pPr>
              <w:spacing w:after="0"/>
              <w:rPr>
                <w:sz w:val="19"/>
                <w:szCs w:val="19"/>
                <w:color w:val="auto"/>
              </w:rPr>
            </w:pP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(186)</w:t>
            </w:r>
          </w:p>
        </w:tc>
      </w:tr>
      <w:tr>
        <w:trPr>
          <w:trHeight w:val="223"/>
        </w:trPr>
        <w:tc>
          <w:tcPr>
            <w:tcW w:w="5640" w:type="dxa"/>
            <w:vAlign w:val="bottom"/>
            <w:tcBorders>
              <w:bottom w:val="single" w:sz="8" w:color="BFBFBF"/>
            </w:tcBorders>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BFBFBF"/>
            </w:tcBorders>
          </w:tcPr>
          <w:p>
            <w:pPr>
              <w:spacing w:after="0"/>
              <w:rPr>
                <w:sz w:val="19"/>
                <w:szCs w:val="19"/>
                <w:color w:val="auto"/>
              </w:rPr>
            </w:pP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5640" w:type="dxa"/>
            <w:vAlign w:val="bottom"/>
            <w:tcBorders>
              <w:bottom w:val="single" w:sz="8" w:color="BFBFBF"/>
            </w:tcBorders>
          </w:tcPr>
          <w:p>
            <w:pPr>
              <w:ind w:left="220"/>
              <w:spacing w:after="0"/>
              <w:rPr>
                <w:sz w:val="20"/>
                <w:szCs w:val="20"/>
                <w:color w:val="auto"/>
              </w:rPr>
            </w:pPr>
            <w:r>
              <w:rPr>
                <w:rFonts w:ascii="Arial" w:cs="Arial" w:eastAsia="Arial" w:hAnsi="Arial"/>
                <w:sz w:val="18"/>
                <w:szCs w:val="18"/>
                <w:color w:val="auto"/>
              </w:rPr>
              <w:t>Changes in assets and liabilities:</w:t>
            </w: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spacing w:after="0"/>
              <w:rPr>
                <w:sz w:val="19"/>
                <w:szCs w:val="19"/>
                <w:color w:val="auto"/>
              </w:rPr>
            </w:pP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spacing w:after="0"/>
              <w:rPr>
                <w:sz w:val="19"/>
                <w:szCs w:val="19"/>
                <w:color w:val="auto"/>
              </w:rPr>
            </w:pPr>
          </w:p>
        </w:tc>
        <w:tc>
          <w:tcPr>
            <w:tcW w:w="100" w:type="dxa"/>
            <w:vAlign w:val="bottom"/>
            <w:tcBorders>
              <w:bottom w:val="single" w:sz="8" w:color="BFBFBF"/>
            </w:tcBorders>
          </w:tcPr>
          <w:p>
            <w:pPr>
              <w:spacing w:after="0"/>
              <w:rPr>
                <w:sz w:val="19"/>
                <w:szCs w:val="19"/>
                <w:color w:val="auto"/>
              </w:rPr>
            </w:pP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spacing w:after="0"/>
              <w:rPr>
                <w:sz w:val="19"/>
                <w:szCs w:val="19"/>
                <w:color w:val="auto"/>
              </w:rPr>
            </w:pP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spacing w:after="0"/>
              <w:rPr>
                <w:sz w:val="19"/>
                <w:szCs w:val="19"/>
                <w:color w:val="auto"/>
              </w:rPr>
            </w:pPr>
          </w:p>
        </w:tc>
      </w:tr>
      <w:tr>
        <w:trPr>
          <w:trHeight w:val="223"/>
        </w:trPr>
        <w:tc>
          <w:tcPr>
            <w:tcW w:w="5640" w:type="dxa"/>
            <w:vAlign w:val="bottom"/>
            <w:tcBorders>
              <w:bottom w:val="single" w:sz="8" w:color="BFBFBF"/>
            </w:tcBorders>
          </w:tcPr>
          <w:p>
            <w:pPr>
              <w:ind w:left="440"/>
              <w:spacing w:after="0"/>
              <w:rPr>
                <w:sz w:val="20"/>
                <w:szCs w:val="20"/>
                <w:color w:val="auto"/>
              </w:rPr>
            </w:pPr>
            <w:r>
              <w:rPr>
                <w:rFonts w:ascii="Arial" w:cs="Arial" w:eastAsia="Arial" w:hAnsi="Arial"/>
                <w:sz w:val="18"/>
                <w:szCs w:val="18"/>
                <w:color w:val="auto"/>
              </w:rPr>
              <w:t>Accounts receivable</w:t>
            </w: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134</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BFBFBF"/>
            </w:tcBorders>
          </w:tcPr>
          <w:p>
            <w:pPr>
              <w:spacing w:after="0"/>
              <w:rPr>
                <w:sz w:val="19"/>
                <w:szCs w:val="19"/>
                <w:color w:val="auto"/>
              </w:rPr>
            </w:pP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(390)</w:t>
            </w:r>
          </w:p>
        </w:tc>
      </w:tr>
      <w:tr>
        <w:trPr>
          <w:trHeight w:val="223"/>
        </w:trPr>
        <w:tc>
          <w:tcPr>
            <w:tcW w:w="5640" w:type="dxa"/>
            <w:vAlign w:val="bottom"/>
            <w:tcBorders>
              <w:bottom w:val="single" w:sz="8" w:color="BFBFBF"/>
            </w:tcBorders>
          </w:tcPr>
          <w:p>
            <w:pPr>
              <w:ind w:left="44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BFBFBF"/>
            </w:tcBorders>
          </w:tcPr>
          <w:p>
            <w:pPr>
              <w:spacing w:after="0"/>
              <w:rPr>
                <w:sz w:val="19"/>
                <w:szCs w:val="19"/>
                <w:color w:val="auto"/>
              </w:rPr>
            </w:pP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(262)</w:t>
            </w:r>
          </w:p>
        </w:tc>
      </w:tr>
      <w:tr>
        <w:trPr>
          <w:trHeight w:val="223"/>
        </w:trPr>
        <w:tc>
          <w:tcPr>
            <w:tcW w:w="5640" w:type="dxa"/>
            <w:vAlign w:val="bottom"/>
            <w:tcBorders>
              <w:bottom w:val="single" w:sz="8" w:color="BFBFBF"/>
            </w:tcBorders>
          </w:tcPr>
          <w:p>
            <w:pPr>
              <w:ind w:left="440"/>
              <w:spacing w:after="0"/>
              <w:rPr>
                <w:sz w:val="20"/>
                <w:szCs w:val="20"/>
                <w:color w:val="auto"/>
              </w:rPr>
            </w:pPr>
            <w:r>
              <w:rPr>
                <w:rFonts w:ascii="Arial" w:cs="Arial" w:eastAsia="Arial" w:hAnsi="Arial"/>
                <w:sz w:val="18"/>
                <w:szCs w:val="18"/>
                <w:color w:val="auto"/>
              </w:rPr>
              <w:t>Contract assets</w:t>
            </w: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BFBFBF"/>
            </w:tcBorders>
          </w:tcPr>
          <w:p>
            <w:pPr>
              <w:spacing w:after="0"/>
              <w:rPr>
                <w:sz w:val="19"/>
                <w:szCs w:val="19"/>
                <w:color w:val="auto"/>
              </w:rPr>
            </w:pP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(95)</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5640" w:type="dxa"/>
            <w:vAlign w:val="bottom"/>
            <w:tcBorders>
              <w:bottom w:val="single" w:sz="8" w:color="BFBFBF"/>
            </w:tcBorders>
          </w:tcPr>
          <w:p>
            <w:pPr>
              <w:ind w:left="4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BFBFBF"/>
            </w:tcBorders>
          </w:tcPr>
          <w:p>
            <w:pPr>
              <w:spacing w:after="0"/>
              <w:rPr>
                <w:sz w:val="19"/>
                <w:szCs w:val="19"/>
                <w:color w:val="auto"/>
              </w:rPr>
            </w:pP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78</w:t>
            </w:r>
          </w:p>
        </w:tc>
      </w:tr>
      <w:tr>
        <w:trPr>
          <w:trHeight w:val="223"/>
        </w:trPr>
        <w:tc>
          <w:tcPr>
            <w:tcW w:w="5640" w:type="dxa"/>
            <w:vAlign w:val="bottom"/>
            <w:tcBorders>
              <w:bottom w:val="single" w:sz="8" w:color="BFBFBF"/>
            </w:tcBorders>
          </w:tcPr>
          <w:p>
            <w:pPr>
              <w:ind w:left="44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156</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BFBFBF"/>
            </w:tcBorders>
          </w:tcPr>
          <w:p>
            <w:pPr>
              <w:spacing w:after="0"/>
              <w:rPr>
                <w:sz w:val="19"/>
                <w:szCs w:val="19"/>
                <w:color w:val="auto"/>
              </w:rPr>
            </w:pP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5640" w:type="dxa"/>
            <w:vAlign w:val="bottom"/>
            <w:tcBorders>
              <w:bottom w:val="single" w:sz="8" w:color="BFBFBF"/>
            </w:tcBorders>
          </w:tcPr>
          <w:p>
            <w:pPr>
              <w:ind w:left="440"/>
              <w:spacing w:after="0"/>
              <w:rPr>
                <w:sz w:val="20"/>
                <w:szCs w:val="20"/>
                <w:color w:val="auto"/>
              </w:rPr>
            </w:pPr>
            <w:r>
              <w:rPr>
                <w:rFonts w:ascii="Arial" w:cs="Arial" w:eastAsia="Arial" w:hAnsi="Arial"/>
                <w:sz w:val="18"/>
                <w:szCs w:val="18"/>
                <w:color w:val="auto"/>
              </w:rPr>
              <w:t>Contract liabilities</w:t>
            </w: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BFBFBF"/>
            </w:tcBorders>
          </w:tcPr>
          <w:p>
            <w:pPr>
              <w:spacing w:after="0"/>
              <w:rPr>
                <w:sz w:val="19"/>
                <w:szCs w:val="19"/>
                <w:color w:val="auto"/>
              </w:rPr>
            </w:pP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640" w:type="dxa"/>
            <w:vAlign w:val="bottom"/>
            <w:tcBorders>
              <w:bottom w:val="single" w:sz="8" w:color="384348"/>
            </w:tcBorders>
          </w:tcPr>
          <w:p>
            <w:pPr>
              <w:ind w:left="44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384348"/>
            </w:tcBorders>
          </w:tcPr>
          <w:p>
            <w:pPr>
              <w:spacing w:after="0"/>
              <w:rPr>
                <w:sz w:val="19"/>
                <w:szCs w:val="19"/>
                <w:color w:val="auto"/>
              </w:rPr>
            </w:pPr>
          </w:p>
        </w:tc>
        <w:tc>
          <w:tcPr>
            <w:tcW w:w="122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(82)</w:t>
            </w:r>
          </w:p>
        </w:tc>
        <w:tc>
          <w:tcPr>
            <w:tcW w:w="200" w:type="dxa"/>
            <w:vAlign w:val="bottom"/>
            <w:tcBorders>
              <w:bottom w:val="single" w:sz="8" w:color="384348"/>
            </w:tcBorders>
          </w:tcPr>
          <w:p>
            <w:pPr>
              <w:spacing w:after="0"/>
              <w:rPr>
                <w:sz w:val="19"/>
                <w:szCs w:val="19"/>
                <w:color w:val="auto"/>
              </w:rPr>
            </w:pPr>
          </w:p>
        </w:tc>
        <w:tc>
          <w:tcPr>
            <w:tcW w:w="118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384348"/>
            </w:tcBorders>
          </w:tcPr>
          <w:p>
            <w:pPr>
              <w:spacing w:after="0"/>
              <w:rPr>
                <w:sz w:val="19"/>
                <w:szCs w:val="19"/>
                <w:color w:val="auto"/>
              </w:rPr>
            </w:pPr>
          </w:p>
        </w:tc>
        <w:tc>
          <w:tcPr>
            <w:tcW w:w="140" w:type="dxa"/>
            <w:vAlign w:val="bottom"/>
            <w:tcBorders>
              <w:bottom w:val="single" w:sz="8" w:color="384348"/>
            </w:tcBorders>
          </w:tcPr>
          <w:p>
            <w:pPr>
              <w:spacing w:after="0"/>
              <w:rPr>
                <w:sz w:val="19"/>
                <w:szCs w:val="19"/>
                <w:color w:val="auto"/>
              </w:rPr>
            </w:pPr>
          </w:p>
        </w:tc>
        <w:tc>
          <w:tcPr>
            <w:tcW w:w="122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Borders>
              <w:bottom w:val="single" w:sz="8" w:color="384348"/>
            </w:tcBorders>
          </w:tcPr>
          <w:p>
            <w:pPr>
              <w:spacing w:after="0"/>
              <w:rPr>
                <w:sz w:val="19"/>
                <w:szCs w:val="19"/>
                <w:color w:val="auto"/>
              </w:rPr>
            </w:pPr>
          </w:p>
        </w:tc>
        <w:tc>
          <w:tcPr>
            <w:tcW w:w="118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5640" w:type="dxa"/>
            <w:vAlign w:val="bottom"/>
            <w:tcBorders>
              <w:bottom w:val="single" w:sz="8" w:color="384348"/>
            </w:tcBorders>
          </w:tcPr>
          <w:p>
            <w:pPr>
              <w:ind w:left="440"/>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tcBorders>
              <w:bottom w:val="single" w:sz="8" w:color="384348"/>
            </w:tcBorders>
          </w:tcPr>
          <w:p>
            <w:pPr>
              <w:spacing w:after="0"/>
              <w:rPr>
                <w:sz w:val="19"/>
                <w:szCs w:val="19"/>
                <w:color w:val="auto"/>
              </w:rPr>
            </w:pPr>
          </w:p>
        </w:tc>
        <w:tc>
          <w:tcPr>
            <w:tcW w:w="122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b w:val="1"/>
                <w:bCs w:val="1"/>
                <w:color w:val="auto"/>
              </w:rPr>
              <w:t>668</w:t>
            </w:r>
          </w:p>
        </w:tc>
        <w:tc>
          <w:tcPr>
            <w:tcW w:w="200" w:type="dxa"/>
            <w:vAlign w:val="bottom"/>
            <w:tcBorders>
              <w:bottom w:val="single" w:sz="8" w:color="384348"/>
            </w:tcBorders>
          </w:tcPr>
          <w:p>
            <w:pPr>
              <w:spacing w:after="0"/>
              <w:rPr>
                <w:sz w:val="19"/>
                <w:szCs w:val="19"/>
                <w:color w:val="auto"/>
              </w:rPr>
            </w:pPr>
          </w:p>
        </w:tc>
        <w:tc>
          <w:tcPr>
            <w:tcW w:w="11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839</w:t>
            </w:r>
          </w:p>
        </w:tc>
        <w:tc>
          <w:tcPr>
            <w:tcW w:w="100" w:type="dxa"/>
            <w:vAlign w:val="bottom"/>
            <w:tcBorders>
              <w:bottom w:val="single" w:sz="8" w:color="384348"/>
            </w:tcBorders>
          </w:tcPr>
          <w:p>
            <w:pPr>
              <w:spacing w:after="0"/>
              <w:rPr>
                <w:sz w:val="19"/>
                <w:szCs w:val="19"/>
                <w:color w:val="auto"/>
              </w:rPr>
            </w:pPr>
          </w:p>
        </w:tc>
        <w:tc>
          <w:tcPr>
            <w:tcW w:w="140" w:type="dxa"/>
            <w:vAlign w:val="bottom"/>
            <w:tcBorders>
              <w:bottom w:val="single" w:sz="8" w:color="384348"/>
            </w:tcBorders>
          </w:tcPr>
          <w:p>
            <w:pPr>
              <w:spacing w:after="0"/>
              <w:rPr>
                <w:sz w:val="19"/>
                <w:szCs w:val="19"/>
                <w:color w:val="auto"/>
              </w:rPr>
            </w:pPr>
          </w:p>
        </w:tc>
        <w:tc>
          <w:tcPr>
            <w:tcW w:w="122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b w:val="1"/>
                <w:bCs w:val="1"/>
                <w:color w:val="auto"/>
              </w:rPr>
              <w:t>1,014</w:t>
            </w:r>
          </w:p>
        </w:tc>
        <w:tc>
          <w:tcPr>
            <w:tcW w:w="200" w:type="dxa"/>
            <w:vAlign w:val="bottom"/>
            <w:tcBorders>
              <w:bottom w:val="single" w:sz="8" w:color="384348"/>
            </w:tcBorders>
          </w:tcPr>
          <w:p>
            <w:pPr>
              <w:spacing w:after="0"/>
              <w:rPr>
                <w:sz w:val="19"/>
                <w:szCs w:val="19"/>
                <w:color w:val="auto"/>
              </w:rPr>
            </w:pPr>
          </w:p>
        </w:tc>
        <w:tc>
          <w:tcPr>
            <w:tcW w:w="11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1,864</w:t>
            </w:r>
          </w:p>
        </w:tc>
      </w:tr>
      <w:tr>
        <w:trPr>
          <w:trHeight w:val="223"/>
        </w:trPr>
        <w:tc>
          <w:tcPr>
            <w:tcW w:w="5640" w:type="dxa"/>
            <w:vAlign w:val="bottom"/>
            <w:tcBorders>
              <w:bottom w:val="single" w:sz="8" w:color="BFBFBF"/>
            </w:tcBorders>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spacing w:after="0"/>
              <w:rPr>
                <w:sz w:val="19"/>
                <w:szCs w:val="19"/>
                <w:color w:val="auto"/>
              </w:rPr>
            </w:pP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spacing w:after="0"/>
              <w:rPr>
                <w:sz w:val="19"/>
                <w:szCs w:val="19"/>
                <w:color w:val="auto"/>
              </w:rPr>
            </w:pPr>
          </w:p>
        </w:tc>
        <w:tc>
          <w:tcPr>
            <w:tcW w:w="100" w:type="dxa"/>
            <w:vAlign w:val="bottom"/>
            <w:tcBorders>
              <w:bottom w:val="single" w:sz="8" w:color="BFBFBF"/>
            </w:tcBorders>
          </w:tcPr>
          <w:p>
            <w:pPr>
              <w:spacing w:after="0"/>
              <w:rPr>
                <w:sz w:val="19"/>
                <w:szCs w:val="19"/>
                <w:color w:val="auto"/>
              </w:rPr>
            </w:pP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spacing w:after="0"/>
              <w:rPr>
                <w:sz w:val="19"/>
                <w:szCs w:val="19"/>
                <w:color w:val="auto"/>
              </w:rPr>
            </w:pP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spacing w:after="0"/>
              <w:rPr>
                <w:sz w:val="19"/>
                <w:szCs w:val="19"/>
                <w:color w:val="auto"/>
              </w:rPr>
            </w:pPr>
          </w:p>
        </w:tc>
      </w:tr>
      <w:tr>
        <w:trPr>
          <w:trHeight w:val="223"/>
        </w:trPr>
        <w:tc>
          <w:tcPr>
            <w:tcW w:w="56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Capital expenditures</w:t>
            </w: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BFBFBF"/>
            </w:tcBorders>
          </w:tcPr>
          <w:p>
            <w:pPr>
              <w:spacing w:after="0"/>
              <w:rPr>
                <w:sz w:val="19"/>
                <w:szCs w:val="19"/>
                <w:color w:val="auto"/>
              </w:rPr>
            </w:pP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(428)</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(372)</w:t>
            </w:r>
          </w:p>
        </w:tc>
      </w:tr>
      <w:tr>
        <w:trPr>
          <w:trHeight w:val="223"/>
        </w:trPr>
        <w:tc>
          <w:tcPr>
            <w:tcW w:w="56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Increase in investments, net</w:t>
            </w: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BFBF"/>
            </w:tcBorders>
          </w:tcPr>
          <w:p>
            <w:pPr>
              <w:spacing w:after="0"/>
              <w:rPr>
                <w:sz w:val="19"/>
                <w:szCs w:val="19"/>
                <w:color w:val="auto"/>
              </w:rPr>
            </w:pPr>
          </w:p>
        </w:tc>
        <w:tc>
          <w:tcPr>
            <w:tcW w:w="1280" w:type="dxa"/>
            <w:vAlign w:val="bottom"/>
            <w:tcBorders>
              <w:bottom w:val="single" w:sz="8" w:color="BFBFB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6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Amounts advanced for related party loans receivable</w:t>
            </w: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BFBFBF"/>
            </w:tcBorders>
          </w:tcPr>
          <w:p>
            <w:pPr>
              <w:spacing w:after="0"/>
              <w:rPr>
                <w:sz w:val="19"/>
                <w:szCs w:val="19"/>
                <w:color w:val="auto"/>
              </w:rPr>
            </w:pP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56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Payments received from related party loans receivable</w:t>
            </w: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BFBF"/>
            </w:tcBorders>
          </w:tcPr>
          <w:p>
            <w:pPr>
              <w:spacing w:after="0"/>
              <w:rPr>
                <w:sz w:val="19"/>
                <w:szCs w:val="19"/>
                <w:color w:val="auto"/>
              </w:rPr>
            </w:pPr>
          </w:p>
        </w:tc>
        <w:tc>
          <w:tcPr>
            <w:tcW w:w="1280" w:type="dxa"/>
            <w:vAlign w:val="bottom"/>
            <w:tcBorders>
              <w:bottom w:val="single" w:sz="8" w:color="BFBFB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4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384348"/>
            </w:tcBorders>
          </w:tcPr>
          <w:p>
            <w:pPr>
              <w:spacing w:after="0"/>
              <w:rPr>
                <w:sz w:val="19"/>
                <w:szCs w:val="19"/>
                <w:color w:val="auto"/>
              </w:rPr>
            </w:pPr>
          </w:p>
        </w:tc>
        <w:tc>
          <w:tcPr>
            <w:tcW w:w="122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384348"/>
            </w:tcBorders>
          </w:tcPr>
          <w:p>
            <w:pPr>
              <w:spacing w:after="0"/>
              <w:rPr>
                <w:sz w:val="19"/>
                <w:szCs w:val="19"/>
                <w:color w:val="auto"/>
              </w:rPr>
            </w:pPr>
          </w:p>
        </w:tc>
        <w:tc>
          <w:tcPr>
            <w:tcW w:w="1280" w:type="dxa"/>
            <w:vAlign w:val="bottom"/>
            <w:tcBorders>
              <w:bottom w:val="single" w:sz="8" w:color="384348"/>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384348"/>
            </w:tcBorders>
          </w:tcPr>
          <w:p>
            <w:pPr>
              <w:spacing w:after="0"/>
              <w:rPr>
                <w:sz w:val="19"/>
                <w:szCs w:val="19"/>
                <w:color w:val="auto"/>
              </w:rPr>
            </w:pPr>
          </w:p>
        </w:tc>
        <w:tc>
          <w:tcPr>
            <w:tcW w:w="122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384348"/>
            </w:tcBorders>
          </w:tcPr>
          <w:p>
            <w:pPr>
              <w:spacing w:after="0"/>
              <w:rPr>
                <w:sz w:val="19"/>
                <w:szCs w:val="19"/>
                <w:color w:val="auto"/>
              </w:rPr>
            </w:pPr>
          </w:p>
        </w:tc>
        <w:tc>
          <w:tcPr>
            <w:tcW w:w="118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40" w:type="dxa"/>
            <w:vAlign w:val="bottom"/>
            <w:tcBorders>
              <w:bottom w:val="single" w:sz="8" w:color="384348"/>
            </w:tcBorders>
          </w:tcPr>
          <w:p>
            <w:pPr>
              <w:ind w:left="440"/>
              <w:spacing w:after="0"/>
              <w:rPr>
                <w:sz w:val="20"/>
                <w:szCs w:val="20"/>
                <w:color w:val="auto"/>
              </w:rPr>
            </w:pPr>
            <w:r>
              <w:rPr>
                <w:rFonts w:ascii="Arial" w:cs="Arial" w:eastAsia="Arial" w:hAnsi="Arial"/>
                <w:sz w:val="18"/>
                <w:szCs w:val="18"/>
                <w:b w:val="1"/>
                <w:bCs w:val="1"/>
                <w:color w:val="auto"/>
              </w:rPr>
              <w:t>Net cash used for investing activities</w:t>
            </w:r>
          </w:p>
        </w:tc>
        <w:tc>
          <w:tcPr>
            <w:tcW w:w="140" w:type="dxa"/>
            <w:vAlign w:val="bottom"/>
            <w:tcBorders>
              <w:bottom w:val="single" w:sz="8" w:color="384348"/>
            </w:tcBorders>
          </w:tcPr>
          <w:p>
            <w:pPr>
              <w:spacing w:after="0"/>
              <w:rPr>
                <w:sz w:val="19"/>
                <w:szCs w:val="19"/>
                <w:color w:val="auto"/>
              </w:rPr>
            </w:pPr>
          </w:p>
        </w:tc>
        <w:tc>
          <w:tcPr>
            <w:tcW w:w="12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(164)</w:t>
            </w:r>
          </w:p>
        </w:tc>
        <w:tc>
          <w:tcPr>
            <w:tcW w:w="200" w:type="dxa"/>
            <w:vAlign w:val="bottom"/>
            <w:tcBorders>
              <w:bottom w:val="single" w:sz="8" w:color="384348"/>
            </w:tcBorders>
          </w:tcPr>
          <w:p>
            <w:pPr>
              <w:spacing w:after="0"/>
              <w:rPr>
                <w:sz w:val="19"/>
                <w:szCs w:val="19"/>
                <w:color w:val="auto"/>
              </w:rPr>
            </w:pPr>
          </w:p>
        </w:tc>
        <w:tc>
          <w:tcPr>
            <w:tcW w:w="11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(150)</w:t>
            </w:r>
          </w:p>
        </w:tc>
        <w:tc>
          <w:tcPr>
            <w:tcW w:w="100" w:type="dxa"/>
            <w:vAlign w:val="bottom"/>
            <w:tcBorders>
              <w:bottom w:val="single" w:sz="8" w:color="384348"/>
            </w:tcBorders>
          </w:tcPr>
          <w:p>
            <w:pPr>
              <w:spacing w:after="0"/>
              <w:rPr>
                <w:sz w:val="19"/>
                <w:szCs w:val="19"/>
                <w:color w:val="auto"/>
              </w:rPr>
            </w:pPr>
          </w:p>
        </w:tc>
        <w:tc>
          <w:tcPr>
            <w:tcW w:w="140" w:type="dxa"/>
            <w:vAlign w:val="bottom"/>
            <w:tcBorders>
              <w:bottom w:val="single" w:sz="8" w:color="384348"/>
            </w:tcBorders>
          </w:tcPr>
          <w:p>
            <w:pPr>
              <w:spacing w:after="0"/>
              <w:rPr>
                <w:sz w:val="19"/>
                <w:szCs w:val="19"/>
                <w:color w:val="auto"/>
              </w:rPr>
            </w:pPr>
          </w:p>
        </w:tc>
        <w:tc>
          <w:tcPr>
            <w:tcW w:w="12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(385)</w:t>
            </w:r>
          </w:p>
        </w:tc>
        <w:tc>
          <w:tcPr>
            <w:tcW w:w="200" w:type="dxa"/>
            <w:vAlign w:val="bottom"/>
            <w:tcBorders>
              <w:bottom w:val="single" w:sz="8" w:color="384348"/>
            </w:tcBorders>
          </w:tcPr>
          <w:p>
            <w:pPr>
              <w:spacing w:after="0"/>
              <w:rPr>
                <w:sz w:val="19"/>
                <w:szCs w:val="19"/>
                <w:color w:val="auto"/>
              </w:rPr>
            </w:pPr>
          </w:p>
        </w:tc>
        <w:tc>
          <w:tcPr>
            <w:tcW w:w="11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(392)</w:t>
            </w:r>
          </w:p>
        </w:tc>
      </w:tr>
      <w:tr>
        <w:trPr>
          <w:trHeight w:val="223"/>
        </w:trPr>
        <w:tc>
          <w:tcPr>
            <w:tcW w:w="5640" w:type="dxa"/>
            <w:vAlign w:val="bottom"/>
            <w:tcBorders>
              <w:bottom w:val="single" w:sz="8" w:color="BFBFBF"/>
            </w:tcBorders>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spacing w:after="0"/>
              <w:rPr>
                <w:sz w:val="19"/>
                <w:szCs w:val="19"/>
                <w:color w:val="auto"/>
              </w:rPr>
            </w:pP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spacing w:after="0"/>
              <w:rPr>
                <w:sz w:val="19"/>
                <w:szCs w:val="19"/>
                <w:color w:val="auto"/>
              </w:rPr>
            </w:pPr>
          </w:p>
        </w:tc>
        <w:tc>
          <w:tcPr>
            <w:tcW w:w="100" w:type="dxa"/>
            <w:vAlign w:val="bottom"/>
            <w:tcBorders>
              <w:bottom w:val="single" w:sz="8" w:color="BFBFBF"/>
            </w:tcBorders>
          </w:tcPr>
          <w:p>
            <w:pPr>
              <w:spacing w:after="0"/>
              <w:rPr>
                <w:sz w:val="19"/>
                <w:szCs w:val="19"/>
                <w:color w:val="auto"/>
              </w:rPr>
            </w:pP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spacing w:after="0"/>
              <w:rPr>
                <w:sz w:val="19"/>
                <w:szCs w:val="19"/>
                <w:color w:val="auto"/>
              </w:rPr>
            </w:pP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spacing w:after="0"/>
              <w:rPr>
                <w:sz w:val="19"/>
                <w:szCs w:val="19"/>
                <w:color w:val="auto"/>
              </w:rPr>
            </w:pPr>
          </w:p>
        </w:tc>
      </w:tr>
      <w:tr>
        <w:trPr>
          <w:trHeight w:val="223"/>
        </w:trPr>
        <w:tc>
          <w:tcPr>
            <w:tcW w:w="56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Proceeds from issuance of long-term debt</w:t>
            </w: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BFBF"/>
            </w:tcBorders>
          </w:tcPr>
          <w:p>
            <w:pPr>
              <w:spacing w:after="0"/>
              <w:rPr>
                <w:sz w:val="19"/>
                <w:szCs w:val="19"/>
                <w:color w:val="auto"/>
              </w:rPr>
            </w:pPr>
          </w:p>
        </w:tc>
        <w:tc>
          <w:tcPr>
            <w:tcW w:w="1280" w:type="dxa"/>
            <w:vAlign w:val="bottom"/>
            <w:tcBorders>
              <w:bottom w:val="single" w:sz="8" w:color="BFBFB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15,843</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Net transfers from (to) Parent</w:t>
            </w: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BFBFBF"/>
            </w:tcBorders>
          </w:tcPr>
          <w:p>
            <w:pPr>
              <w:spacing w:after="0"/>
              <w:rPr>
                <w:sz w:val="19"/>
                <w:szCs w:val="19"/>
                <w:color w:val="auto"/>
              </w:rPr>
            </w:pPr>
          </w:p>
        </w:tc>
        <w:tc>
          <w:tcPr>
            <w:tcW w:w="140" w:type="dxa"/>
            <w:vAlign w:val="bottom"/>
            <w:tcBorders>
              <w:bottom w:val="single" w:sz="8" w:color="BFBFBF"/>
            </w:tcBorders>
          </w:tcPr>
          <w:p>
            <w:pPr>
              <w:spacing w:after="0"/>
              <w:rPr>
                <w:sz w:val="19"/>
                <w:szCs w:val="19"/>
                <w:color w:val="auto"/>
              </w:rPr>
            </w:pPr>
          </w:p>
        </w:tc>
        <w:tc>
          <w:tcPr>
            <w:tcW w:w="12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(15,080)</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(1,224)</w:t>
            </w:r>
          </w:p>
        </w:tc>
      </w:tr>
      <w:tr>
        <w:trPr>
          <w:trHeight w:val="223"/>
        </w:trPr>
        <w:tc>
          <w:tcPr>
            <w:tcW w:w="564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384348"/>
            </w:tcBorders>
          </w:tcPr>
          <w:p>
            <w:pPr>
              <w:spacing w:after="0"/>
              <w:rPr>
                <w:sz w:val="19"/>
                <w:szCs w:val="19"/>
                <w:color w:val="auto"/>
              </w:rPr>
            </w:pPr>
          </w:p>
        </w:tc>
        <w:tc>
          <w:tcPr>
            <w:tcW w:w="122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384348"/>
            </w:tcBorders>
          </w:tcPr>
          <w:p>
            <w:pPr>
              <w:spacing w:after="0"/>
              <w:rPr>
                <w:sz w:val="19"/>
                <w:szCs w:val="19"/>
                <w:color w:val="auto"/>
              </w:rPr>
            </w:pPr>
          </w:p>
        </w:tc>
        <w:tc>
          <w:tcPr>
            <w:tcW w:w="118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384348"/>
            </w:tcBorders>
          </w:tcPr>
          <w:p>
            <w:pPr>
              <w:spacing w:after="0"/>
              <w:rPr>
                <w:sz w:val="19"/>
                <w:szCs w:val="19"/>
                <w:color w:val="auto"/>
              </w:rPr>
            </w:pPr>
          </w:p>
        </w:tc>
        <w:tc>
          <w:tcPr>
            <w:tcW w:w="140" w:type="dxa"/>
            <w:vAlign w:val="bottom"/>
            <w:tcBorders>
              <w:bottom w:val="single" w:sz="8" w:color="384348"/>
            </w:tcBorders>
          </w:tcPr>
          <w:p>
            <w:pPr>
              <w:spacing w:after="0"/>
              <w:rPr>
                <w:sz w:val="19"/>
                <w:szCs w:val="19"/>
                <w:color w:val="auto"/>
              </w:rPr>
            </w:pPr>
          </w:p>
        </w:tc>
        <w:tc>
          <w:tcPr>
            <w:tcW w:w="122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384348"/>
            </w:tcBorders>
          </w:tcPr>
          <w:p>
            <w:pPr>
              <w:spacing w:after="0"/>
              <w:rPr>
                <w:sz w:val="19"/>
                <w:szCs w:val="19"/>
                <w:color w:val="auto"/>
              </w:rPr>
            </w:pPr>
          </w:p>
        </w:tc>
        <w:tc>
          <w:tcPr>
            <w:tcW w:w="118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5640" w:type="dxa"/>
            <w:vAlign w:val="bottom"/>
            <w:tcBorders>
              <w:bottom w:val="single" w:sz="8" w:color="384348"/>
            </w:tcBorders>
          </w:tcPr>
          <w:p>
            <w:pPr>
              <w:ind w:left="440"/>
              <w:spacing w:after="0"/>
              <w:rPr>
                <w:sz w:val="20"/>
                <w:szCs w:val="20"/>
                <w:color w:val="auto"/>
              </w:rPr>
            </w:pPr>
            <w:r>
              <w:rPr>
                <w:rFonts w:ascii="Arial" w:cs="Arial" w:eastAsia="Arial" w:hAnsi="Arial"/>
                <w:sz w:val="18"/>
                <w:szCs w:val="18"/>
                <w:b w:val="1"/>
                <w:bCs w:val="1"/>
                <w:color w:val="auto"/>
              </w:rPr>
              <w:t>Net cash (used for) provided by financing activities</w:t>
            </w:r>
          </w:p>
        </w:tc>
        <w:tc>
          <w:tcPr>
            <w:tcW w:w="140" w:type="dxa"/>
            <w:vAlign w:val="bottom"/>
            <w:tcBorders>
              <w:bottom w:val="single" w:sz="8" w:color="384348"/>
            </w:tcBorders>
          </w:tcPr>
          <w:p>
            <w:pPr>
              <w:spacing w:after="0"/>
              <w:rPr>
                <w:sz w:val="19"/>
                <w:szCs w:val="19"/>
                <w:color w:val="auto"/>
              </w:rPr>
            </w:pPr>
          </w:p>
        </w:tc>
        <w:tc>
          <w:tcPr>
            <w:tcW w:w="122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(5)</w:t>
            </w:r>
          </w:p>
        </w:tc>
        <w:tc>
          <w:tcPr>
            <w:tcW w:w="200" w:type="dxa"/>
            <w:vAlign w:val="bottom"/>
            <w:tcBorders>
              <w:bottom w:val="single" w:sz="8" w:color="384348"/>
            </w:tcBorders>
          </w:tcPr>
          <w:p>
            <w:pPr>
              <w:spacing w:after="0"/>
              <w:rPr>
                <w:sz w:val="19"/>
                <w:szCs w:val="19"/>
                <w:color w:val="auto"/>
              </w:rPr>
            </w:pPr>
          </w:p>
        </w:tc>
        <w:tc>
          <w:tcPr>
            <w:tcW w:w="11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(638)</w:t>
            </w:r>
          </w:p>
        </w:tc>
        <w:tc>
          <w:tcPr>
            <w:tcW w:w="100" w:type="dxa"/>
            <w:vAlign w:val="bottom"/>
            <w:tcBorders>
              <w:bottom w:val="single" w:sz="8" w:color="384348"/>
            </w:tcBorders>
          </w:tcPr>
          <w:p>
            <w:pPr>
              <w:spacing w:after="0"/>
              <w:rPr>
                <w:sz w:val="19"/>
                <w:szCs w:val="19"/>
                <w:color w:val="auto"/>
              </w:rPr>
            </w:pPr>
          </w:p>
        </w:tc>
        <w:tc>
          <w:tcPr>
            <w:tcW w:w="140" w:type="dxa"/>
            <w:vAlign w:val="bottom"/>
            <w:tcBorders>
              <w:bottom w:val="single" w:sz="8" w:color="384348"/>
            </w:tcBorders>
          </w:tcPr>
          <w:p>
            <w:pPr>
              <w:spacing w:after="0"/>
              <w:rPr>
                <w:sz w:val="19"/>
                <w:szCs w:val="19"/>
                <w:color w:val="auto"/>
              </w:rPr>
            </w:pPr>
          </w:p>
        </w:tc>
        <w:tc>
          <w:tcPr>
            <w:tcW w:w="122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b w:val="1"/>
                <w:bCs w:val="1"/>
                <w:color w:val="auto"/>
              </w:rPr>
              <w:t>739</w:t>
            </w:r>
          </w:p>
        </w:tc>
        <w:tc>
          <w:tcPr>
            <w:tcW w:w="200" w:type="dxa"/>
            <w:vAlign w:val="bottom"/>
            <w:tcBorders>
              <w:bottom w:val="single" w:sz="8" w:color="384348"/>
            </w:tcBorders>
          </w:tcPr>
          <w:p>
            <w:pPr>
              <w:spacing w:after="0"/>
              <w:rPr>
                <w:sz w:val="19"/>
                <w:szCs w:val="19"/>
                <w:color w:val="auto"/>
              </w:rPr>
            </w:pPr>
          </w:p>
        </w:tc>
        <w:tc>
          <w:tcPr>
            <w:tcW w:w="11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(1,265)</w:t>
            </w:r>
          </w:p>
        </w:tc>
      </w:tr>
      <w:tr>
        <w:trPr>
          <w:trHeight w:val="223"/>
        </w:trPr>
        <w:tc>
          <w:tcPr>
            <w:tcW w:w="564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w w:val="99"/>
              </w:rPr>
              <w:t>Effect of foreign exchange rate changes on cash and cash equivalents</w:t>
            </w:r>
          </w:p>
        </w:tc>
        <w:tc>
          <w:tcPr>
            <w:tcW w:w="140" w:type="dxa"/>
            <w:vAlign w:val="bottom"/>
            <w:tcBorders>
              <w:bottom w:val="single" w:sz="8" w:color="384348"/>
            </w:tcBorders>
          </w:tcPr>
          <w:p>
            <w:pPr>
              <w:spacing w:after="0"/>
              <w:rPr>
                <w:sz w:val="19"/>
                <w:szCs w:val="19"/>
                <w:color w:val="auto"/>
              </w:rPr>
            </w:pPr>
          </w:p>
        </w:tc>
        <w:tc>
          <w:tcPr>
            <w:tcW w:w="122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384348"/>
            </w:tcBorders>
          </w:tcPr>
          <w:p>
            <w:pPr>
              <w:spacing w:after="0"/>
              <w:rPr>
                <w:sz w:val="19"/>
                <w:szCs w:val="19"/>
                <w:color w:val="auto"/>
              </w:rPr>
            </w:pPr>
          </w:p>
        </w:tc>
        <w:tc>
          <w:tcPr>
            <w:tcW w:w="1280" w:type="dxa"/>
            <w:vAlign w:val="bottom"/>
            <w:tcBorders>
              <w:bottom w:val="single" w:sz="8" w:color="384348"/>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384348"/>
            </w:tcBorders>
          </w:tcPr>
          <w:p>
            <w:pPr>
              <w:spacing w:after="0"/>
              <w:rPr>
                <w:sz w:val="19"/>
                <w:szCs w:val="19"/>
                <w:color w:val="auto"/>
              </w:rPr>
            </w:pPr>
          </w:p>
        </w:tc>
        <w:tc>
          <w:tcPr>
            <w:tcW w:w="122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384348"/>
            </w:tcBorders>
          </w:tcPr>
          <w:p>
            <w:pPr>
              <w:spacing w:after="0"/>
              <w:rPr>
                <w:sz w:val="19"/>
                <w:szCs w:val="19"/>
                <w:color w:val="auto"/>
              </w:rPr>
            </w:pPr>
          </w:p>
        </w:tc>
        <w:tc>
          <w:tcPr>
            <w:tcW w:w="118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564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Net increase in cash and cash equivalents</w:t>
            </w:r>
          </w:p>
        </w:tc>
        <w:tc>
          <w:tcPr>
            <w:tcW w:w="140" w:type="dxa"/>
            <w:vAlign w:val="bottom"/>
            <w:tcBorders>
              <w:bottom w:val="single" w:sz="8" w:color="384348"/>
            </w:tcBorders>
          </w:tcPr>
          <w:p>
            <w:pPr>
              <w:spacing w:after="0"/>
              <w:rPr>
                <w:sz w:val="19"/>
                <w:szCs w:val="19"/>
                <w:color w:val="auto"/>
              </w:rPr>
            </w:pPr>
          </w:p>
        </w:tc>
        <w:tc>
          <w:tcPr>
            <w:tcW w:w="122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b w:val="1"/>
                <w:bCs w:val="1"/>
                <w:color w:val="auto"/>
              </w:rPr>
              <w:t>501</w:t>
            </w:r>
          </w:p>
        </w:tc>
        <w:tc>
          <w:tcPr>
            <w:tcW w:w="200" w:type="dxa"/>
            <w:vAlign w:val="bottom"/>
            <w:tcBorders>
              <w:bottom w:val="single" w:sz="8" w:color="384348"/>
            </w:tcBorders>
          </w:tcPr>
          <w:p>
            <w:pPr>
              <w:spacing w:after="0"/>
              <w:rPr>
                <w:sz w:val="19"/>
                <w:szCs w:val="19"/>
                <w:color w:val="auto"/>
              </w:rPr>
            </w:pPr>
          </w:p>
        </w:tc>
        <w:tc>
          <w:tcPr>
            <w:tcW w:w="11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Borders>
              <w:bottom w:val="single" w:sz="8" w:color="384348"/>
            </w:tcBorders>
          </w:tcPr>
          <w:p>
            <w:pPr>
              <w:spacing w:after="0"/>
              <w:rPr>
                <w:sz w:val="19"/>
                <w:szCs w:val="19"/>
                <w:color w:val="auto"/>
              </w:rPr>
            </w:pPr>
          </w:p>
        </w:tc>
        <w:tc>
          <w:tcPr>
            <w:tcW w:w="140" w:type="dxa"/>
            <w:vAlign w:val="bottom"/>
            <w:tcBorders>
              <w:bottom w:val="single" w:sz="8" w:color="384348"/>
            </w:tcBorders>
          </w:tcPr>
          <w:p>
            <w:pPr>
              <w:spacing w:after="0"/>
              <w:rPr>
                <w:sz w:val="19"/>
                <w:szCs w:val="19"/>
                <w:color w:val="auto"/>
              </w:rPr>
            </w:pPr>
          </w:p>
        </w:tc>
        <w:tc>
          <w:tcPr>
            <w:tcW w:w="122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b w:val="1"/>
                <w:bCs w:val="1"/>
                <w:color w:val="auto"/>
              </w:rPr>
              <w:t>1,345</w:t>
            </w:r>
          </w:p>
        </w:tc>
        <w:tc>
          <w:tcPr>
            <w:tcW w:w="200" w:type="dxa"/>
            <w:vAlign w:val="bottom"/>
            <w:tcBorders>
              <w:bottom w:val="single" w:sz="8" w:color="384348"/>
            </w:tcBorders>
          </w:tcPr>
          <w:p>
            <w:pPr>
              <w:spacing w:after="0"/>
              <w:rPr>
                <w:sz w:val="19"/>
                <w:szCs w:val="19"/>
                <w:color w:val="auto"/>
              </w:rPr>
            </w:pPr>
          </w:p>
        </w:tc>
        <w:tc>
          <w:tcPr>
            <w:tcW w:w="11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226</w:t>
            </w:r>
          </w:p>
        </w:tc>
      </w:tr>
      <w:tr>
        <w:trPr>
          <w:trHeight w:val="223"/>
        </w:trPr>
        <w:tc>
          <w:tcPr>
            <w:tcW w:w="564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40" w:type="dxa"/>
            <w:vAlign w:val="bottom"/>
            <w:tcBorders>
              <w:bottom w:val="single" w:sz="8" w:color="384348"/>
            </w:tcBorders>
          </w:tcPr>
          <w:p>
            <w:pPr>
              <w:spacing w:after="0"/>
              <w:rPr>
                <w:sz w:val="19"/>
                <w:szCs w:val="19"/>
                <w:color w:val="auto"/>
              </w:rPr>
            </w:pPr>
          </w:p>
        </w:tc>
        <w:tc>
          <w:tcPr>
            <w:tcW w:w="122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b w:val="1"/>
                <w:bCs w:val="1"/>
                <w:color w:val="auto"/>
              </w:rPr>
              <w:t>1,057</w:t>
            </w:r>
          </w:p>
        </w:tc>
        <w:tc>
          <w:tcPr>
            <w:tcW w:w="200" w:type="dxa"/>
            <w:vAlign w:val="bottom"/>
            <w:tcBorders>
              <w:bottom w:val="single" w:sz="8" w:color="384348"/>
            </w:tcBorders>
          </w:tcPr>
          <w:p>
            <w:pPr>
              <w:spacing w:after="0"/>
              <w:rPr>
                <w:sz w:val="19"/>
                <w:szCs w:val="19"/>
                <w:color w:val="auto"/>
              </w:rPr>
            </w:pPr>
          </w:p>
        </w:tc>
        <w:tc>
          <w:tcPr>
            <w:tcW w:w="11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419</w:t>
            </w:r>
          </w:p>
        </w:tc>
        <w:tc>
          <w:tcPr>
            <w:tcW w:w="100" w:type="dxa"/>
            <w:vAlign w:val="bottom"/>
            <w:tcBorders>
              <w:bottom w:val="single" w:sz="8" w:color="384348"/>
            </w:tcBorders>
          </w:tcPr>
          <w:p>
            <w:pPr>
              <w:spacing w:after="0"/>
              <w:rPr>
                <w:sz w:val="19"/>
                <w:szCs w:val="19"/>
                <w:color w:val="auto"/>
              </w:rPr>
            </w:pPr>
          </w:p>
        </w:tc>
        <w:tc>
          <w:tcPr>
            <w:tcW w:w="140" w:type="dxa"/>
            <w:vAlign w:val="bottom"/>
            <w:tcBorders>
              <w:bottom w:val="single" w:sz="8" w:color="384348"/>
            </w:tcBorders>
          </w:tcPr>
          <w:p>
            <w:pPr>
              <w:spacing w:after="0"/>
              <w:rPr>
                <w:sz w:val="19"/>
                <w:szCs w:val="19"/>
                <w:color w:val="auto"/>
              </w:rPr>
            </w:pPr>
          </w:p>
        </w:tc>
        <w:tc>
          <w:tcPr>
            <w:tcW w:w="122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b w:val="1"/>
                <w:bCs w:val="1"/>
                <w:color w:val="auto"/>
              </w:rPr>
              <w:t>213</w:t>
            </w:r>
          </w:p>
        </w:tc>
        <w:tc>
          <w:tcPr>
            <w:tcW w:w="200" w:type="dxa"/>
            <w:vAlign w:val="bottom"/>
            <w:tcBorders>
              <w:bottom w:val="single" w:sz="8" w:color="384348"/>
            </w:tcBorders>
          </w:tcPr>
          <w:p>
            <w:pPr>
              <w:spacing w:after="0"/>
              <w:rPr>
                <w:sz w:val="19"/>
                <w:szCs w:val="19"/>
                <w:color w:val="auto"/>
              </w:rPr>
            </w:pPr>
          </w:p>
        </w:tc>
        <w:tc>
          <w:tcPr>
            <w:tcW w:w="11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244</w:t>
            </w:r>
          </w:p>
        </w:tc>
      </w:tr>
      <w:tr>
        <w:trPr>
          <w:trHeight w:val="223"/>
        </w:trPr>
        <w:tc>
          <w:tcPr>
            <w:tcW w:w="564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1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b w:val="1"/>
                <w:bCs w:val="1"/>
                <w:color w:val="auto"/>
              </w:rPr>
              <w:t>1,558</w:t>
            </w:r>
          </w:p>
        </w:tc>
        <w:tc>
          <w:tcPr>
            <w:tcW w:w="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470</w:t>
            </w:r>
          </w:p>
        </w:tc>
        <w:tc>
          <w:tcPr>
            <w:tcW w:w="100" w:type="dxa"/>
            <w:vAlign w:val="bottom"/>
            <w:tcBorders>
              <w:bottom w:val="single" w:sz="8" w:color="384348"/>
            </w:tcBorders>
          </w:tcPr>
          <w:p>
            <w:pPr>
              <w:spacing w:after="0"/>
              <w:rPr>
                <w:sz w:val="19"/>
                <w:szCs w:val="19"/>
                <w:color w:val="auto"/>
              </w:rPr>
            </w:pPr>
          </w:p>
        </w:tc>
        <w:tc>
          <w:tcPr>
            <w:tcW w:w="1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b w:val="1"/>
                <w:bCs w:val="1"/>
                <w:color w:val="auto"/>
              </w:rPr>
              <w:t>1,558</w:t>
            </w:r>
          </w:p>
        </w:tc>
        <w:tc>
          <w:tcPr>
            <w:tcW w:w="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470</w:t>
            </w:r>
          </w:p>
        </w:tc>
      </w:tr>
    </w:tbl>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Honeywell Aerospace 3Q26 Results - 8</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Honeywell Aerospace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Data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FF4400"/>
            </w:tcBorders>
          </w:tcPr>
          <w:p>
            <w:pPr>
              <w:spacing w:after="0"/>
              <w:rPr>
                <w:sz w:val="17"/>
                <w:szCs w:val="17"/>
                <w:color w:val="auto"/>
              </w:rPr>
            </w:pPr>
          </w:p>
        </w:tc>
        <w:tc>
          <w:tcPr>
            <w:tcW w:w="2440" w:type="dxa"/>
            <w:vAlign w:val="bottom"/>
            <w:tcBorders>
              <w:bottom w:val="single" w:sz="8" w:color="FF4400"/>
            </w:tcBorders>
            <w:gridSpan w:val="4"/>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FF4400"/>
            </w:tcBorders>
          </w:tcPr>
          <w:p>
            <w:pPr>
              <w:spacing w:after="0"/>
              <w:rPr>
                <w:sz w:val="17"/>
                <w:szCs w:val="17"/>
                <w:color w:val="auto"/>
              </w:rPr>
            </w:pPr>
          </w:p>
        </w:tc>
        <w:tc>
          <w:tcPr>
            <w:tcW w:w="2560" w:type="dxa"/>
            <w:vAlign w:val="bottom"/>
            <w:tcBorders>
              <w:bottom w:val="single" w:sz="8" w:color="FF4400"/>
            </w:tcBorders>
            <w:gridSpan w:val="3"/>
          </w:tcPr>
          <w:p>
            <w:pPr>
              <w:jc w:val="right"/>
              <w:ind w:right="59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7"/>
        </w:trPr>
        <w:tc>
          <w:tcPr>
            <w:tcW w:w="5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12"/>
                <w:szCs w:val="12"/>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September 26, 2026</w:t>
            </w:r>
          </w:p>
        </w:tc>
        <w:tc>
          <w:tcPr>
            <w:tcW w:w="200" w:type="dxa"/>
            <w:vAlign w:val="bottom"/>
          </w:tcPr>
          <w:p>
            <w:pPr>
              <w:spacing w:after="0"/>
              <w:rPr>
                <w:sz w:val="12"/>
                <w:szCs w:val="12"/>
                <w:color w:val="auto"/>
              </w:rPr>
            </w:pPr>
          </w:p>
        </w:tc>
        <w:tc>
          <w:tcPr>
            <w:tcW w:w="118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September 27,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75"/>
              <w:spacing w:after="0" w:line="147" w:lineRule="exact"/>
              <w:rPr>
                <w:sz w:val="20"/>
                <w:szCs w:val="20"/>
                <w:color w:val="auto"/>
              </w:rPr>
            </w:pPr>
            <w:r>
              <w:rPr>
                <w:rFonts w:ascii="Arial" w:cs="Arial" w:eastAsia="Arial" w:hAnsi="Arial"/>
                <w:sz w:val="14"/>
                <w:szCs w:val="14"/>
                <w:b w:val="1"/>
                <w:bCs w:val="1"/>
                <w:color w:val="auto"/>
              </w:rPr>
              <w:t>September 26,</w:t>
            </w:r>
          </w:p>
        </w:tc>
        <w:tc>
          <w:tcPr>
            <w:tcW w:w="200" w:type="dxa"/>
            <w:vAlign w:val="bottom"/>
          </w:tcPr>
          <w:p>
            <w:pPr>
              <w:spacing w:after="0"/>
              <w:rPr>
                <w:sz w:val="12"/>
                <w:szCs w:val="12"/>
                <w:color w:val="auto"/>
              </w:rPr>
            </w:pPr>
          </w:p>
        </w:tc>
        <w:tc>
          <w:tcPr>
            <w:tcW w:w="1160" w:type="dxa"/>
            <w:vAlign w:val="bottom"/>
          </w:tcPr>
          <w:p>
            <w:pPr>
              <w:jc w:val="center"/>
              <w:ind w:right="53"/>
              <w:spacing w:after="0" w:line="147" w:lineRule="exact"/>
              <w:rPr>
                <w:sz w:val="20"/>
                <w:szCs w:val="20"/>
                <w:color w:val="auto"/>
              </w:rPr>
            </w:pPr>
            <w:r>
              <w:rPr>
                <w:rFonts w:ascii="Arial" w:cs="Arial" w:eastAsia="Arial" w:hAnsi="Arial"/>
                <w:sz w:val="14"/>
                <w:szCs w:val="14"/>
                <w:b w:val="1"/>
                <w:bCs w:val="1"/>
                <w:color w:val="auto"/>
              </w:rPr>
              <w:t>September 27,</w:t>
            </w:r>
          </w:p>
        </w:tc>
        <w:tc>
          <w:tcPr>
            <w:tcW w:w="0" w:type="dxa"/>
            <w:vAlign w:val="bottom"/>
          </w:tcPr>
          <w:p>
            <w:pPr>
              <w:spacing w:after="0"/>
              <w:rPr>
                <w:sz w:val="1"/>
                <w:szCs w:val="1"/>
                <w:color w:val="auto"/>
              </w:rPr>
            </w:pPr>
          </w:p>
        </w:tc>
      </w:tr>
      <w:tr>
        <w:trPr>
          <w:trHeight w:val="185"/>
        </w:trPr>
        <w:tc>
          <w:tcPr>
            <w:tcW w:w="5540" w:type="dxa"/>
            <w:vAlign w:val="bottom"/>
            <w:tcBorders>
              <w:bottom w:val="single" w:sz="8" w:color="FF4400"/>
            </w:tcBorders>
            <w:vMerge w:val="continue"/>
          </w:tcPr>
          <w:p>
            <w:pPr>
              <w:spacing w:after="0"/>
              <w:rPr>
                <w:sz w:val="16"/>
                <w:szCs w:val="16"/>
                <w:color w:val="auto"/>
              </w:rPr>
            </w:pPr>
          </w:p>
        </w:tc>
        <w:tc>
          <w:tcPr>
            <w:tcW w:w="100" w:type="dxa"/>
            <w:vAlign w:val="bottom"/>
            <w:tcBorders>
              <w:bottom w:val="single" w:sz="8" w:color="FF4400"/>
            </w:tcBorders>
          </w:tcPr>
          <w:p>
            <w:pPr>
              <w:spacing w:after="0"/>
              <w:rPr>
                <w:sz w:val="16"/>
                <w:szCs w:val="16"/>
                <w:color w:val="auto"/>
              </w:rPr>
            </w:pPr>
          </w:p>
        </w:tc>
        <w:tc>
          <w:tcPr>
            <w:tcW w:w="1440" w:type="dxa"/>
            <w:vAlign w:val="bottom"/>
            <w:tcBorders>
              <w:bottom w:val="single" w:sz="8" w:color="FF4400"/>
            </w:tcBorders>
            <w:gridSpan w:val="2"/>
            <w:vMerge w:val="continue"/>
          </w:tcPr>
          <w:p>
            <w:pPr>
              <w:spacing w:after="0"/>
              <w:rPr>
                <w:sz w:val="16"/>
                <w:szCs w:val="16"/>
                <w:color w:val="auto"/>
              </w:rPr>
            </w:pPr>
          </w:p>
        </w:tc>
        <w:tc>
          <w:tcPr>
            <w:tcW w:w="200" w:type="dxa"/>
            <w:vAlign w:val="bottom"/>
            <w:tcBorders>
              <w:bottom w:val="single" w:sz="8" w:color="FF4400"/>
            </w:tcBorders>
          </w:tcPr>
          <w:p>
            <w:pPr>
              <w:spacing w:after="0"/>
              <w:rPr>
                <w:sz w:val="16"/>
                <w:szCs w:val="16"/>
                <w:color w:val="auto"/>
              </w:rPr>
            </w:pPr>
          </w:p>
        </w:tc>
        <w:tc>
          <w:tcPr>
            <w:tcW w:w="1160" w:type="dxa"/>
            <w:vAlign w:val="bottom"/>
            <w:tcBorders>
              <w:bottom w:val="single" w:sz="8" w:color="FF4400"/>
            </w:tcBorders>
          </w:tcPr>
          <w:p>
            <w:pPr>
              <w:jc w:val="right"/>
              <w:ind w:right="373"/>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FF4400"/>
            </w:tcBorders>
          </w:tcPr>
          <w:p>
            <w:pPr>
              <w:spacing w:after="0"/>
              <w:rPr>
                <w:sz w:val="16"/>
                <w:szCs w:val="16"/>
                <w:color w:val="auto"/>
              </w:rPr>
            </w:pPr>
          </w:p>
        </w:tc>
        <w:tc>
          <w:tcPr>
            <w:tcW w:w="60" w:type="dxa"/>
            <w:vAlign w:val="bottom"/>
            <w:tcBorders>
              <w:bottom w:val="single" w:sz="8" w:color="FF4400"/>
            </w:tcBorders>
          </w:tcPr>
          <w:p>
            <w:pPr>
              <w:spacing w:after="0"/>
              <w:rPr>
                <w:sz w:val="16"/>
                <w:szCs w:val="16"/>
                <w:color w:val="auto"/>
              </w:rPr>
            </w:pPr>
          </w:p>
        </w:tc>
        <w:tc>
          <w:tcPr>
            <w:tcW w:w="40" w:type="dxa"/>
            <w:vAlign w:val="bottom"/>
            <w:tcBorders>
              <w:bottom w:val="single" w:sz="8" w:color="FF4400"/>
            </w:tcBorders>
          </w:tcPr>
          <w:p>
            <w:pPr>
              <w:spacing w:after="0"/>
              <w:rPr>
                <w:sz w:val="16"/>
                <w:szCs w:val="16"/>
                <w:color w:val="auto"/>
              </w:rPr>
            </w:pPr>
          </w:p>
        </w:tc>
        <w:tc>
          <w:tcPr>
            <w:tcW w:w="120" w:type="dxa"/>
            <w:vAlign w:val="bottom"/>
            <w:tcBorders>
              <w:bottom w:val="single" w:sz="8" w:color="FF4400"/>
            </w:tcBorders>
          </w:tcPr>
          <w:p>
            <w:pPr>
              <w:spacing w:after="0"/>
              <w:rPr>
                <w:sz w:val="16"/>
                <w:szCs w:val="16"/>
                <w:color w:val="auto"/>
              </w:rPr>
            </w:pPr>
          </w:p>
        </w:tc>
        <w:tc>
          <w:tcPr>
            <w:tcW w:w="1200" w:type="dxa"/>
            <w:vAlign w:val="bottom"/>
            <w:tcBorders>
              <w:bottom w:val="single" w:sz="8" w:color="FF4400"/>
            </w:tcBorders>
          </w:tcPr>
          <w:p>
            <w:pPr>
              <w:jc w:val="center"/>
              <w:ind w:right="75"/>
              <w:spacing w:after="0"/>
              <w:rPr>
                <w:sz w:val="20"/>
                <w:szCs w:val="20"/>
                <w:color w:val="auto"/>
              </w:rPr>
            </w:pPr>
            <w:r>
              <w:rPr>
                <w:rFonts w:ascii="Arial" w:cs="Arial" w:eastAsia="Arial" w:hAnsi="Arial"/>
                <w:sz w:val="14"/>
                <w:szCs w:val="14"/>
                <w:b w:val="1"/>
                <w:bCs w:val="1"/>
                <w:color w:val="auto"/>
              </w:rPr>
              <w:t>2026</w:t>
            </w:r>
          </w:p>
        </w:tc>
        <w:tc>
          <w:tcPr>
            <w:tcW w:w="200" w:type="dxa"/>
            <w:vAlign w:val="bottom"/>
            <w:tcBorders>
              <w:bottom w:val="single" w:sz="8" w:color="FF4400"/>
            </w:tcBorders>
          </w:tcPr>
          <w:p>
            <w:pPr>
              <w:spacing w:after="0"/>
              <w:rPr>
                <w:sz w:val="16"/>
                <w:szCs w:val="16"/>
                <w:color w:val="auto"/>
              </w:rPr>
            </w:pPr>
          </w:p>
        </w:tc>
        <w:tc>
          <w:tcPr>
            <w:tcW w:w="1160" w:type="dxa"/>
            <w:vAlign w:val="bottom"/>
            <w:tcBorders>
              <w:bottom w:val="single" w:sz="8" w:color="FF4400"/>
            </w:tcBorders>
          </w:tcPr>
          <w:p>
            <w:pPr>
              <w:jc w:val="center"/>
              <w:ind w:right="33"/>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Electronic Solutions</w:t>
            </w:r>
          </w:p>
        </w:tc>
        <w:tc>
          <w:tcPr>
            <w:tcW w:w="480" w:type="dxa"/>
            <w:vAlign w:val="bottom"/>
            <w:tcBorders>
              <w:bottom w:val="single" w:sz="8" w:color="BFBFBF"/>
            </w:tcBorders>
            <w:gridSpan w:val="2"/>
          </w:tcPr>
          <w:p>
            <w:pPr>
              <w:jc w:val="right"/>
              <w:ind w:right="188"/>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1,784</w:t>
            </w:r>
          </w:p>
        </w:tc>
        <w:tc>
          <w:tcPr>
            <w:tcW w:w="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1,708</w:t>
            </w:r>
          </w:p>
        </w:tc>
        <w:tc>
          <w:tcPr>
            <w:tcW w:w="20" w:type="dxa"/>
            <w:vAlign w:val="bottom"/>
            <w:tcBorders>
              <w:bottom w:val="single" w:sz="8" w:color="BFBFBF"/>
            </w:tcBorders>
          </w:tcPr>
          <w:p>
            <w:pPr>
              <w:spacing w:after="0"/>
              <w:rPr>
                <w:sz w:val="19"/>
                <w:szCs w:val="19"/>
                <w:color w:val="auto"/>
              </w:rPr>
            </w:pPr>
          </w:p>
        </w:tc>
        <w:tc>
          <w:tcPr>
            <w:tcW w:w="220" w:type="dxa"/>
            <w:vAlign w:val="bottom"/>
            <w:tcBorders>
              <w:bottom w:val="single" w:sz="8" w:color="BFBFBF"/>
            </w:tcBorders>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BFBFBF"/>
            </w:tcBorders>
          </w:tcPr>
          <w:p>
            <w:pPr>
              <w:jc w:val="right"/>
              <w:ind w:right="15"/>
              <w:spacing w:after="0"/>
              <w:rPr>
                <w:sz w:val="20"/>
                <w:szCs w:val="20"/>
                <w:color w:val="auto"/>
              </w:rPr>
            </w:pPr>
            <w:r>
              <w:rPr>
                <w:rFonts w:ascii="Arial" w:cs="Arial" w:eastAsia="Arial" w:hAnsi="Arial"/>
                <w:sz w:val="18"/>
                <w:szCs w:val="18"/>
                <w:color w:val="auto"/>
              </w:rPr>
              <w:t>5,299</w:t>
            </w:r>
          </w:p>
        </w:tc>
        <w:tc>
          <w:tcPr>
            <w:tcW w:w="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4,903</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Engines &amp; Power Systems</w:t>
            </w:r>
          </w:p>
        </w:tc>
        <w:tc>
          <w:tcPr>
            <w:tcW w:w="100" w:type="dxa"/>
            <w:vAlign w:val="bottom"/>
            <w:tcBorders>
              <w:bottom w:val="single" w:sz="8" w:color="BFBFBF"/>
            </w:tcBorders>
          </w:tcPr>
          <w:p>
            <w:pPr>
              <w:spacing w:after="0"/>
              <w:rPr>
                <w:sz w:val="19"/>
                <w:szCs w:val="19"/>
                <w:color w:val="auto"/>
              </w:rPr>
            </w:pPr>
          </w:p>
        </w:tc>
        <w:tc>
          <w:tcPr>
            <w:tcW w:w="380" w:type="dxa"/>
            <w:vAlign w:val="bottom"/>
            <w:tcBorders>
              <w:bottom w:val="single" w:sz="8" w:color="BFBFBF"/>
            </w:tcBorders>
          </w:tcPr>
          <w:p>
            <w:pPr>
              <w:spacing w:after="0"/>
              <w:rPr>
                <w:sz w:val="19"/>
                <w:szCs w:val="19"/>
                <w:color w:val="auto"/>
              </w:rPr>
            </w:pPr>
          </w:p>
        </w:tc>
        <w:tc>
          <w:tcPr>
            <w:tcW w:w="10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1,515</w:t>
            </w:r>
          </w:p>
        </w:tc>
        <w:tc>
          <w:tcPr>
            <w:tcW w:w="200" w:type="dxa"/>
            <w:vAlign w:val="bottom"/>
            <w:tcBorders>
              <w:bottom w:val="single" w:sz="8" w:color="BFBFBF"/>
            </w:tcBorders>
          </w:tcPr>
          <w:p>
            <w:pPr>
              <w:spacing w:after="0"/>
              <w:rPr>
                <w:sz w:val="19"/>
                <w:szCs w:val="19"/>
                <w:color w:val="auto"/>
              </w:rPr>
            </w:pPr>
          </w:p>
        </w:tc>
        <w:tc>
          <w:tcPr>
            <w:tcW w:w="1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1,478</w:t>
            </w:r>
          </w:p>
        </w:tc>
        <w:tc>
          <w:tcPr>
            <w:tcW w:w="20" w:type="dxa"/>
            <w:vAlign w:val="bottom"/>
            <w:tcBorders>
              <w:bottom w:val="single" w:sz="8" w:color="BFBFBF"/>
            </w:tcBorders>
          </w:tcPr>
          <w:p>
            <w:pPr>
              <w:spacing w:after="0"/>
              <w:rPr>
                <w:sz w:val="19"/>
                <w:szCs w:val="19"/>
                <w:color w:val="auto"/>
              </w:rPr>
            </w:pPr>
          </w:p>
        </w:tc>
        <w:tc>
          <w:tcPr>
            <w:tcW w:w="60" w:type="dxa"/>
            <w:vAlign w:val="bottom"/>
            <w:tcBorders>
              <w:bottom w:val="single" w:sz="8" w:color="BFBFBF"/>
            </w:tcBorders>
          </w:tcPr>
          <w:p>
            <w:pPr>
              <w:spacing w:after="0"/>
              <w:rPr>
                <w:sz w:val="19"/>
                <w:szCs w:val="19"/>
                <w:color w:val="auto"/>
              </w:rPr>
            </w:pPr>
          </w:p>
        </w:tc>
        <w:tc>
          <w:tcPr>
            <w:tcW w:w="4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200" w:type="dxa"/>
            <w:vAlign w:val="bottom"/>
            <w:tcBorders>
              <w:bottom w:val="single" w:sz="8" w:color="BFBFBF"/>
            </w:tcBorders>
          </w:tcPr>
          <w:p>
            <w:pPr>
              <w:jc w:val="right"/>
              <w:ind w:right="15"/>
              <w:spacing w:after="0"/>
              <w:rPr>
                <w:sz w:val="20"/>
                <w:szCs w:val="20"/>
                <w:color w:val="auto"/>
              </w:rPr>
            </w:pPr>
            <w:r>
              <w:rPr>
                <w:rFonts w:ascii="Arial" w:cs="Arial" w:eastAsia="Arial" w:hAnsi="Arial"/>
                <w:sz w:val="18"/>
                <w:szCs w:val="18"/>
                <w:color w:val="auto"/>
              </w:rPr>
              <w:t>4,341</w:t>
            </w:r>
          </w:p>
        </w:tc>
        <w:tc>
          <w:tcPr>
            <w:tcW w:w="200" w:type="dxa"/>
            <w:vAlign w:val="bottom"/>
            <w:tcBorders>
              <w:bottom w:val="single" w:sz="8" w:color="BFBFBF"/>
            </w:tcBorders>
          </w:tcPr>
          <w:p>
            <w:pPr>
              <w:spacing w:after="0"/>
              <w:rPr>
                <w:sz w:val="19"/>
                <w:szCs w:val="19"/>
                <w:color w:val="auto"/>
              </w:rPr>
            </w:pPr>
          </w:p>
        </w:tc>
        <w:tc>
          <w:tcPr>
            <w:tcW w:w="1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4,142</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Control Systems</w:t>
            </w:r>
          </w:p>
        </w:tc>
        <w:tc>
          <w:tcPr>
            <w:tcW w:w="100" w:type="dxa"/>
            <w:vAlign w:val="bottom"/>
            <w:tcBorders>
              <w:bottom w:val="single" w:sz="8" w:color="384348"/>
            </w:tcBorders>
          </w:tcPr>
          <w:p>
            <w:pPr>
              <w:spacing w:after="0"/>
              <w:rPr>
                <w:sz w:val="19"/>
                <w:szCs w:val="19"/>
                <w:color w:val="auto"/>
              </w:rPr>
            </w:pPr>
          </w:p>
        </w:tc>
        <w:tc>
          <w:tcPr>
            <w:tcW w:w="380" w:type="dxa"/>
            <w:vAlign w:val="bottom"/>
            <w:tcBorders>
              <w:bottom w:val="single" w:sz="8" w:color="384348"/>
            </w:tcBorders>
          </w:tcPr>
          <w:p>
            <w:pPr>
              <w:spacing w:after="0"/>
              <w:rPr>
                <w:sz w:val="19"/>
                <w:szCs w:val="19"/>
                <w:color w:val="auto"/>
              </w:rPr>
            </w:pPr>
          </w:p>
        </w:tc>
        <w:tc>
          <w:tcPr>
            <w:tcW w:w="106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1,345</w:t>
            </w:r>
          </w:p>
        </w:tc>
        <w:tc>
          <w:tcPr>
            <w:tcW w:w="200" w:type="dxa"/>
            <w:vAlign w:val="bottom"/>
            <w:tcBorders>
              <w:bottom w:val="single" w:sz="8" w:color="384348"/>
            </w:tcBorders>
          </w:tcPr>
          <w:p>
            <w:pPr>
              <w:spacing w:after="0"/>
              <w:rPr>
                <w:sz w:val="19"/>
                <w:szCs w:val="19"/>
                <w:color w:val="auto"/>
              </w:rPr>
            </w:pPr>
          </w:p>
        </w:tc>
        <w:tc>
          <w:tcPr>
            <w:tcW w:w="116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1,347</w:t>
            </w:r>
          </w:p>
        </w:tc>
        <w:tc>
          <w:tcPr>
            <w:tcW w:w="20" w:type="dxa"/>
            <w:vAlign w:val="bottom"/>
            <w:tcBorders>
              <w:bottom w:val="single" w:sz="8" w:color="384348"/>
            </w:tcBorders>
          </w:tcPr>
          <w:p>
            <w:pPr>
              <w:spacing w:after="0"/>
              <w:rPr>
                <w:sz w:val="19"/>
                <w:szCs w:val="19"/>
                <w:color w:val="auto"/>
              </w:rPr>
            </w:pPr>
          </w:p>
        </w:tc>
        <w:tc>
          <w:tcPr>
            <w:tcW w:w="60" w:type="dxa"/>
            <w:vAlign w:val="bottom"/>
            <w:tcBorders>
              <w:bottom w:val="single" w:sz="8" w:color="384348"/>
            </w:tcBorders>
          </w:tcPr>
          <w:p>
            <w:pPr>
              <w:spacing w:after="0"/>
              <w:rPr>
                <w:sz w:val="19"/>
                <w:szCs w:val="19"/>
                <w:color w:val="auto"/>
              </w:rPr>
            </w:pPr>
          </w:p>
        </w:tc>
        <w:tc>
          <w:tcPr>
            <w:tcW w:w="40" w:type="dxa"/>
            <w:vAlign w:val="bottom"/>
            <w:tcBorders>
              <w:bottom w:val="single" w:sz="8" w:color="384348"/>
            </w:tcBorders>
          </w:tcPr>
          <w:p>
            <w:pPr>
              <w:spacing w:after="0"/>
              <w:rPr>
                <w:sz w:val="19"/>
                <w:szCs w:val="19"/>
                <w:color w:val="auto"/>
              </w:rPr>
            </w:pPr>
          </w:p>
        </w:tc>
        <w:tc>
          <w:tcPr>
            <w:tcW w:w="120" w:type="dxa"/>
            <w:vAlign w:val="bottom"/>
            <w:tcBorders>
              <w:bottom w:val="single" w:sz="8" w:color="384348"/>
            </w:tcBorders>
          </w:tcPr>
          <w:p>
            <w:pPr>
              <w:spacing w:after="0"/>
              <w:rPr>
                <w:sz w:val="19"/>
                <w:szCs w:val="19"/>
                <w:color w:val="auto"/>
              </w:rPr>
            </w:pPr>
          </w:p>
        </w:tc>
        <w:tc>
          <w:tcPr>
            <w:tcW w:w="1200" w:type="dxa"/>
            <w:vAlign w:val="bottom"/>
            <w:tcBorders>
              <w:bottom w:val="single" w:sz="8" w:color="384348"/>
            </w:tcBorders>
          </w:tcPr>
          <w:p>
            <w:pPr>
              <w:jc w:val="right"/>
              <w:ind w:right="15"/>
              <w:spacing w:after="0"/>
              <w:rPr>
                <w:sz w:val="20"/>
                <w:szCs w:val="20"/>
                <w:color w:val="auto"/>
              </w:rPr>
            </w:pPr>
            <w:r>
              <w:rPr>
                <w:rFonts w:ascii="Arial" w:cs="Arial" w:eastAsia="Arial" w:hAnsi="Arial"/>
                <w:sz w:val="18"/>
                <w:szCs w:val="18"/>
                <w:color w:val="auto"/>
              </w:rPr>
              <w:t>3,878</w:t>
            </w:r>
          </w:p>
        </w:tc>
        <w:tc>
          <w:tcPr>
            <w:tcW w:w="200" w:type="dxa"/>
            <w:vAlign w:val="bottom"/>
            <w:tcBorders>
              <w:bottom w:val="single" w:sz="8" w:color="384348"/>
            </w:tcBorders>
          </w:tcPr>
          <w:p>
            <w:pPr>
              <w:spacing w:after="0"/>
              <w:rPr>
                <w:sz w:val="19"/>
                <w:szCs w:val="19"/>
                <w:color w:val="auto"/>
              </w:rPr>
            </w:pPr>
          </w:p>
        </w:tc>
        <w:tc>
          <w:tcPr>
            <w:tcW w:w="116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3,851</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384348"/>
            </w:tcBorders>
          </w:tcPr>
          <w:p>
            <w:pPr>
              <w:ind w:left="360"/>
              <w:spacing w:after="0"/>
              <w:rPr>
                <w:sz w:val="20"/>
                <w:szCs w:val="20"/>
                <w:color w:val="auto"/>
              </w:rPr>
            </w:pPr>
            <w:r>
              <w:rPr>
                <w:rFonts w:ascii="Arial" w:cs="Arial" w:eastAsia="Arial" w:hAnsi="Arial"/>
                <w:sz w:val="18"/>
                <w:szCs w:val="18"/>
                <w:b w:val="1"/>
                <w:bCs w:val="1"/>
                <w:color w:val="auto"/>
              </w:rPr>
              <w:t>Total Net sales</w:t>
            </w:r>
          </w:p>
        </w:tc>
        <w:tc>
          <w:tcPr>
            <w:tcW w:w="480" w:type="dxa"/>
            <w:vAlign w:val="bottom"/>
            <w:tcBorders>
              <w:bottom w:val="single" w:sz="8" w:color="384348"/>
            </w:tcBorders>
            <w:gridSpan w:val="2"/>
          </w:tcPr>
          <w:p>
            <w:pPr>
              <w:jc w:val="right"/>
              <w:ind w:right="188"/>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4,644</w:t>
            </w:r>
          </w:p>
        </w:tc>
        <w:tc>
          <w:tcPr>
            <w:tcW w:w="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4,533</w:t>
            </w:r>
          </w:p>
        </w:tc>
        <w:tc>
          <w:tcPr>
            <w:tcW w:w="20" w:type="dxa"/>
            <w:vAlign w:val="bottom"/>
            <w:tcBorders>
              <w:bottom w:val="single" w:sz="8" w:color="384348"/>
            </w:tcBorders>
          </w:tcPr>
          <w:p>
            <w:pPr>
              <w:spacing w:after="0"/>
              <w:rPr>
                <w:sz w:val="19"/>
                <w:szCs w:val="19"/>
                <w:color w:val="auto"/>
              </w:rPr>
            </w:pPr>
          </w:p>
        </w:tc>
        <w:tc>
          <w:tcPr>
            <w:tcW w:w="220" w:type="dxa"/>
            <w:vAlign w:val="bottom"/>
            <w:tcBorders>
              <w:bottom w:val="single" w:sz="8" w:color="384348"/>
            </w:tcBorders>
            <w:gridSpan w:val="3"/>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384348"/>
            </w:tcBorders>
          </w:tcPr>
          <w:p>
            <w:pPr>
              <w:jc w:val="right"/>
              <w:ind w:right="15"/>
              <w:spacing w:after="0"/>
              <w:rPr>
                <w:sz w:val="20"/>
                <w:szCs w:val="20"/>
                <w:color w:val="auto"/>
              </w:rPr>
            </w:pPr>
            <w:r>
              <w:rPr>
                <w:rFonts w:ascii="Arial" w:cs="Arial" w:eastAsia="Arial" w:hAnsi="Arial"/>
                <w:sz w:val="18"/>
                <w:szCs w:val="18"/>
                <w:b w:val="1"/>
                <w:bCs w:val="1"/>
                <w:color w:val="auto"/>
              </w:rPr>
              <w:t>13,518</w:t>
            </w:r>
          </w:p>
        </w:tc>
        <w:tc>
          <w:tcPr>
            <w:tcW w:w="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12,896</w:t>
            </w:r>
          </w:p>
        </w:tc>
        <w:tc>
          <w:tcPr>
            <w:tcW w:w="0" w:type="dxa"/>
            <w:vAlign w:val="bottom"/>
          </w:tcPr>
          <w:p>
            <w:pPr>
              <w:spacing w:after="0"/>
              <w:rPr>
                <w:sz w:val="1"/>
                <w:szCs w:val="1"/>
                <w:color w:val="auto"/>
              </w:rPr>
            </w:pPr>
          </w:p>
        </w:tc>
      </w:tr>
      <w:tr>
        <w:trPr>
          <w:trHeight w:val="559"/>
        </w:trPr>
        <w:tc>
          <w:tcPr>
            <w:tcW w:w="8460" w:type="dxa"/>
            <w:vAlign w:val="bottom"/>
            <w:gridSpan w:val="7"/>
          </w:tcPr>
          <w:p>
            <w:pPr>
              <w:jc w:val="center"/>
              <w:ind w:left="2690"/>
              <w:spacing w:after="0"/>
              <w:rPr>
                <w:sz w:val="20"/>
                <w:szCs w:val="20"/>
                <w:color w:val="auto"/>
              </w:rPr>
            </w:pPr>
            <w:r>
              <w:rPr>
                <w:rFonts w:ascii="Arial" w:cs="Arial" w:eastAsia="Arial" w:hAnsi="Arial"/>
                <w:sz w:val="18"/>
                <w:szCs w:val="18"/>
                <w:b w:val="1"/>
                <w:bCs w:val="1"/>
                <w:color w:val="auto"/>
                <w:w w:val="99"/>
              </w:rPr>
              <w:t>Reconciliation of Segment Profit to Income Before Taxes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rPr>
                <w:sz w:val="17"/>
                <w:szCs w:val="17"/>
                <w:color w:val="auto"/>
              </w:rPr>
            </w:pPr>
          </w:p>
        </w:tc>
        <w:tc>
          <w:tcPr>
            <w:tcW w:w="100" w:type="dxa"/>
            <w:vAlign w:val="bottom"/>
            <w:tcBorders>
              <w:bottom w:val="single" w:sz="8" w:color="FF4400"/>
            </w:tcBorders>
          </w:tcPr>
          <w:p>
            <w:pPr>
              <w:spacing w:after="0"/>
              <w:rPr>
                <w:sz w:val="17"/>
                <w:szCs w:val="17"/>
                <w:color w:val="auto"/>
              </w:rPr>
            </w:pPr>
          </w:p>
        </w:tc>
        <w:tc>
          <w:tcPr>
            <w:tcW w:w="380" w:type="dxa"/>
            <w:vAlign w:val="bottom"/>
            <w:tcBorders>
              <w:bottom w:val="single" w:sz="8" w:color="FF4400"/>
            </w:tcBorders>
          </w:tcPr>
          <w:p>
            <w:pPr>
              <w:spacing w:after="0"/>
              <w:rPr>
                <w:sz w:val="17"/>
                <w:szCs w:val="17"/>
                <w:color w:val="auto"/>
              </w:rPr>
            </w:pPr>
          </w:p>
        </w:tc>
        <w:tc>
          <w:tcPr>
            <w:tcW w:w="2420" w:type="dxa"/>
            <w:vAlign w:val="bottom"/>
            <w:tcBorders>
              <w:bottom w:val="single" w:sz="8" w:color="FF4400"/>
            </w:tcBorders>
            <w:gridSpan w:val="3"/>
          </w:tcPr>
          <w:p>
            <w:pPr>
              <w:jc w:val="right"/>
              <w:ind w:right="653"/>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FF4400"/>
            </w:tcBorders>
          </w:tcPr>
          <w:p>
            <w:pPr>
              <w:spacing w:after="0"/>
              <w:rPr>
                <w:sz w:val="17"/>
                <w:szCs w:val="17"/>
                <w:color w:val="auto"/>
              </w:rPr>
            </w:pPr>
          </w:p>
        </w:tc>
        <w:tc>
          <w:tcPr>
            <w:tcW w:w="120" w:type="dxa"/>
            <w:vAlign w:val="bottom"/>
            <w:tcBorders>
              <w:bottom w:val="single" w:sz="8" w:color="FF4400"/>
            </w:tcBorders>
          </w:tcPr>
          <w:p>
            <w:pPr>
              <w:spacing w:after="0"/>
              <w:rPr>
                <w:sz w:val="17"/>
                <w:szCs w:val="17"/>
                <w:color w:val="auto"/>
              </w:rPr>
            </w:pPr>
          </w:p>
        </w:tc>
        <w:tc>
          <w:tcPr>
            <w:tcW w:w="2560" w:type="dxa"/>
            <w:vAlign w:val="bottom"/>
            <w:tcBorders>
              <w:bottom w:val="single" w:sz="8" w:color="FF4400"/>
            </w:tcBorders>
            <w:gridSpan w:val="3"/>
          </w:tcPr>
          <w:p>
            <w:pPr>
              <w:jc w:val="right"/>
              <w:ind w:right="59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7"/>
        </w:trPr>
        <w:tc>
          <w:tcPr>
            <w:tcW w:w="5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Segment profit</w:t>
            </w:r>
          </w:p>
        </w:tc>
        <w:tc>
          <w:tcPr>
            <w:tcW w:w="1540" w:type="dxa"/>
            <w:vAlign w:val="bottom"/>
            <w:gridSpan w:val="3"/>
            <w:vMerge w:val="restart"/>
          </w:tcPr>
          <w:p>
            <w:pPr>
              <w:jc w:val="right"/>
              <w:ind w:right="32"/>
              <w:spacing w:after="0"/>
              <w:rPr>
                <w:sz w:val="20"/>
                <w:szCs w:val="20"/>
                <w:color w:val="auto"/>
              </w:rPr>
            </w:pPr>
            <w:r>
              <w:rPr>
                <w:rFonts w:ascii="Arial" w:cs="Arial" w:eastAsia="Arial" w:hAnsi="Arial"/>
                <w:sz w:val="14"/>
                <w:szCs w:val="14"/>
                <w:b w:val="1"/>
                <w:bCs w:val="1"/>
                <w:color w:val="auto"/>
              </w:rPr>
              <w:t>September 26, 2026</w:t>
            </w:r>
          </w:p>
        </w:tc>
        <w:tc>
          <w:tcPr>
            <w:tcW w:w="200" w:type="dxa"/>
            <w:vAlign w:val="bottom"/>
          </w:tcPr>
          <w:p>
            <w:pPr>
              <w:spacing w:after="0"/>
              <w:rPr>
                <w:sz w:val="12"/>
                <w:szCs w:val="12"/>
                <w:color w:val="auto"/>
              </w:rPr>
            </w:pPr>
          </w:p>
        </w:tc>
        <w:tc>
          <w:tcPr>
            <w:tcW w:w="118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September 27,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115"/>
              <w:spacing w:after="0" w:line="147" w:lineRule="exact"/>
              <w:rPr>
                <w:sz w:val="20"/>
                <w:szCs w:val="20"/>
                <w:color w:val="auto"/>
              </w:rPr>
            </w:pPr>
            <w:r>
              <w:rPr>
                <w:rFonts w:ascii="Arial" w:cs="Arial" w:eastAsia="Arial" w:hAnsi="Arial"/>
                <w:sz w:val="14"/>
                <w:szCs w:val="14"/>
                <w:b w:val="1"/>
                <w:bCs w:val="1"/>
                <w:color w:val="auto"/>
              </w:rPr>
              <w:t>September 26,</w:t>
            </w:r>
          </w:p>
        </w:tc>
        <w:tc>
          <w:tcPr>
            <w:tcW w:w="200" w:type="dxa"/>
            <w:vAlign w:val="bottom"/>
          </w:tcPr>
          <w:p>
            <w:pPr>
              <w:spacing w:after="0"/>
              <w:rPr>
                <w:sz w:val="12"/>
                <w:szCs w:val="12"/>
                <w:color w:val="auto"/>
              </w:rPr>
            </w:pPr>
          </w:p>
        </w:tc>
        <w:tc>
          <w:tcPr>
            <w:tcW w:w="1160" w:type="dxa"/>
            <w:vAlign w:val="bottom"/>
          </w:tcPr>
          <w:p>
            <w:pPr>
              <w:jc w:val="center"/>
              <w:ind w:right="53"/>
              <w:spacing w:after="0" w:line="147" w:lineRule="exact"/>
              <w:rPr>
                <w:sz w:val="20"/>
                <w:szCs w:val="20"/>
                <w:color w:val="auto"/>
              </w:rPr>
            </w:pPr>
            <w:r>
              <w:rPr>
                <w:rFonts w:ascii="Arial" w:cs="Arial" w:eastAsia="Arial" w:hAnsi="Arial"/>
                <w:sz w:val="14"/>
                <w:szCs w:val="14"/>
                <w:b w:val="1"/>
                <w:bCs w:val="1"/>
                <w:color w:val="auto"/>
              </w:rPr>
              <w:t>September 27,</w:t>
            </w:r>
          </w:p>
        </w:tc>
        <w:tc>
          <w:tcPr>
            <w:tcW w:w="0" w:type="dxa"/>
            <w:vAlign w:val="bottom"/>
          </w:tcPr>
          <w:p>
            <w:pPr>
              <w:spacing w:after="0"/>
              <w:rPr>
                <w:sz w:val="1"/>
                <w:szCs w:val="1"/>
                <w:color w:val="auto"/>
              </w:rPr>
            </w:pPr>
          </w:p>
        </w:tc>
      </w:tr>
      <w:tr>
        <w:trPr>
          <w:trHeight w:val="185"/>
        </w:trPr>
        <w:tc>
          <w:tcPr>
            <w:tcW w:w="5540" w:type="dxa"/>
            <w:vAlign w:val="bottom"/>
            <w:tcBorders>
              <w:bottom w:val="single" w:sz="8" w:color="FF4400"/>
            </w:tcBorders>
            <w:vMerge w:val="continue"/>
          </w:tcPr>
          <w:p>
            <w:pPr>
              <w:spacing w:after="0"/>
              <w:rPr>
                <w:sz w:val="16"/>
                <w:szCs w:val="16"/>
                <w:color w:val="auto"/>
              </w:rPr>
            </w:pPr>
          </w:p>
        </w:tc>
        <w:tc>
          <w:tcPr>
            <w:tcW w:w="1540" w:type="dxa"/>
            <w:vAlign w:val="bottom"/>
            <w:tcBorders>
              <w:bottom w:val="single" w:sz="8" w:color="FF4400"/>
            </w:tcBorders>
            <w:gridSpan w:val="3"/>
            <w:vMerge w:val="continue"/>
          </w:tcPr>
          <w:p>
            <w:pPr>
              <w:spacing w:after="0"/>
              <w:rPr>
                <w:sz w:val="16"/>
                <w:szCs w:val="16"/>
                <w:color w:val="auto"/>
              </w:rPr>
            </w:pPr>
          </w:p>
        </w:tc>
        <w:tc>
          <w:tcPr>
            <w:tcW w:w="200" w:type="dxa"/>
            <w:vAlign w:val="bottom"/>
            <w:tcBorders>
              <w:bottom w:val="single" w:sz="8" w:color="FF4400"/>
            </w:tcBorders>
          </w:tcPr>
          <w:p>
            <w:pPr>
              <w:spacing w:after="0"/>
              <w:rPr>
                <w:sz w:val="16"/>
                <w:szCs w:val="16"/>
                <w:color w:val="auto"/>
              </w:rPr>
            </w:pPr>
          </w:p>
        </w:tc>
        <w:tc>
          <w:tcPr>
            <w:tcW w:w="1160" w:type="dxa"/>
            <w:vAlign w:val="bottom"/>
            <w:tcBorders>
              <w:bottom w:val="single" w:sz="8" w:color="FF4400"/>
            </w:tcBorders>
          </w:tcPr>
          <w:p>
            <w:pPr>
              <w:jc w:val="right"/>
              <w:ind w:right="413"/>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FF4400"/>
            </w:tcBorders>
          </w:tcPr>
          <w:p>
            <w:pPr>
              <w:spacing w:after="0"/>
              <w:rPr>
                <w:sz w:val="16"/>
                <w:szCs w:val="16"/>
                <w:color w:val="auto"/>
              </w:rPr>
            </w:pPr>
          </w:p>
        </w:tc>
        <w:tc>
          <w:tcPr>
            <w:tcW w:w="60" w:type="dxa"/>
            <w:vAlign w:val="bottom"/>
            <w:tcBorders>
              <w:bottom w:val="single" w:sz="8" w:color="FF4400"/>
            </w:tcBorders>
          </w:tcPr>
          <w:p>
            <w:pPr>
              <w:spacing w:after="0"/>
              <w:rPr>
                <w:sz w:val="16"/>
                <w:szCs w:val="16"/>
                <w:color w:val="auto"/>
              </w:rPr>
            </w:pPr>
          </w:p>
        </w:tc>
        <w:tc>
          <w:tcPr>
            <w:tcW w:w="40" w:type="dxa"/>
            <w:vAlign w:val="bottom"/>
            <w:tcBorders>
              <w:bottom w:val="single" w:sz="8" w:color="FF4400"/>
            </w:tcBorders>
          </w:tcPr>
          <w:p>
            <w:pPr>
              <w:spacing w:after="0"/>
              <w:rPr>
                <w:sz w:val="16"/>
                <w:szCs w:val="16"/>
                <w:color w:val="auto"/>
              </w:rPr>
            </w:pPr>
          </w:p>
        </w:tc>
        <w:tc>
          <w:tcPr>
            <w:tcW w:w="120" w:type="dxa"/>
            <w:vAlign w:val="bottom"/>
            <w:tcBorders>
              <w:bottom w:val="single" w:sz="8" w:color="FF4400"/>
            </w:tcBorders>
          </w:tcPr>
          <w:p>
            <w:pPr>
              <w:spacing w:after="0"/>
              <w:rPr>
                <w:sz w:val="16"/>
                <w:szCs w:val="16"/>
                <w:color w:val="auto"/>
              </w:rPr>
            </w:pPr>
          </w:p>
        </w:tc>
        <w:tc>
          <w:tcPr>
            <w:tcW w:w="1200" w:type="dxa"/>
            <w:vAlign w:val="bottom"/>
            <w:tcBorders>
              <w:bottom w:val="single" w:sz="8" w:color="FF4400"/>
            </w:tcBorders>
          </w:tcPr>
          <w:p>
            <w:pPr>
              <w:jc w:val="center"/>
              <w:ind w:right="115"/>
              <w:spacing w:after="0"/>
              <w:rPr>
                <w:sz w:val="20"/>
                <w:szCs w:val="20"/>
                <w:color w:val="auto"/>
              </w:rPr>
            </w:pPr>
            <w:r>
              <w:rPr>
                <w:rFonts w:ascii="Arial" w:cs="Arial" w:eastAsia="Arial" w:hAnsi="Arial"/>
                <w:sz w:val="14"/>
                <w:szCs w:val="14"/>
                <w:b w:val="1"/>
                <w:bCs w:val="1"/>
                <w:color w:val="auto"/>
              </w:rPr>
              <w:t>2026</w:t>
            </w:r>
          </w:p>
        </w:tc>
        <w:tc>
          <w:tcPr>
            <w:tcW w:w="200" w:type="dxa"/>
            <w:vAlign w:val="bottom"/>
            <w:tcBorders>
              <w:bottom w:val="single" w:sz="8" w:color="FF4400"/>
            </w:tcBorders>
          </w:tcPr>
          <w:p>
            <w:pPr>
              <w:spacing w:after="0"/>
              <w:rPr>
                <w:sz w:val="16"/>
                <w:szCs w:val="16"/>
                <w:color w:val="auto"/>
              </w:rPr>
            </w:pPr>
          </w:p>
        </w:tc>
        <w:tc>
          <w:tcPr>
            <w:tcW w:w="1160" w:type="dxa"/>
            <w:vAlign w:val="bottom"/>
            <w:tcBorders>
              <w:bottom w:val="single" w:sz="8" w:color="FF4400"/>
            </w:tcBorders>
          </w:tcPr>
          <w:p>
            <w:pPr>
              <w:jc w:val="center"/>
              <w:ind w:right="73"/>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Electronic Solutions</w:t>
            </w:r>
          </w:p>
        </w:tc>
        <w:tc>
          <w:tcPr>
            <w:tcW w:w="480" w:type="dxa"/>
            <w:vAlign w:val="bottom"/>
            <w:tcBorders>
              <w:bottom w:val="single" w:sz="8" w:color="BFBFBF"/>
            </w:tcBorders>
            <w:gridSpan w:val="2"/>
          </w:tcPr>
          <w:p>
            <w:pPr>
              <w:jc w:val="center"/>
              <w:ind w:right="268"/>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564</w:t>
            </w:r>
          </w:p>
        </w:tc>
        <w:tc>
          <w:tcPr>
            <w:tcW w:w="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510</w:t>
            </w:r>
          </w:p>
        </w:tc>
        <w:tc>
          <w:tcPr>
            <w:tcW w:w="20" w:type="dxa"/>
            <w:vAlign w:val="bottom"/>
            <w:tcBorders>
              <w:bottom w:val="single" w:sz="8" w:color="BFBFBF"/>
            </w:tcBorders>
          </w:tcPr>
          <w:p>
            <w:pPr>
              <w:spacing w:after="0"/>
              <w:rPr>
                <w:sz w:val="19"/>
                <w:szCs w:val="19"/>
                <w:color w:val="auto"/>
              </w:rPr>
            </w:pPr>
          </w:p>
        </w:tc>
        <w:tc>
          <w:tcPr>
            <w:tcW w:w="220" w:type="dxa"/>
            <w:vAlign w:val="bottom"/>
            <w:tcBorders>
              <w:bottom w:val="single" w:sz="8" w:color="BFBFBF"/>
            </w:tcBorders>
            <w:gridSpan w:val="3"/>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BFBFBF"/>
            </w:tcBorders>
          </w:tcPr>
          <w:p>
            <w:pPr>
              <w:jc w:val="right"/>
              <w:ind w:right="35"/>
              <w:spacing w:after="0"/>
              <w:rPr>
                <w:sz w:val="20"/>
                <w:szCs w:val="20"/>
                <w:color w:val="auto"/>
              </w:rPr>
            </w:pPr>
            <w:r>
              <w:rPr>
                <w:rFonts w:ascii="Arial" w:cs="Arial" w:eastAsia="Arial" w:hAnsi="Arial"/>
                <w:sz w:val="18"/>
                <w:szCs w:val="18"/>
                <w:color w:val="auto"/>
              </w:rPr>
              <w:t>1,533</w:t>
            </w:r>
          </w:p>
        </w:tc>
        <w:tc>
          <w:tcPr>
            <w:tcW w:w="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Engines &amp; Power Systems</w:t>
            </w:r>
          </w:p>
        </w:tc>
        <w:tc>
          <w:tcPr>
            <w:tcW w:w="100" w:type="dxa"/>
            <w:vAlign w:val="bottom"/>
            <w:tcBorders>
              <w:bottom w:val="single" w:sz="8" w:color="BFBFBF"/>
            </w:tcBorders>
          </w:tcPr>
          <w:p>
            <w:pPr>
              <w:spacing w:after="0"/>
              <w:rPr>
                <w:sz w:val="19"/>
                <w:szCs w:val="19"/>
                <w:color w:val="auto"/>
              </w:rPr>
            </w:pPr>
          </w:p>
        </w:tc>
        <w:tc>
          <w:tcPr>
            <w:tcW w:w="380" w:type="dxa"/>
            <w:vAlign w:val="bottom"/>
            <w:tcBorders>
              <w:bottom w:val="single" w:sz="8" w:color="BFBFBF"/>
            </w:tcBorders>
          </w:tcPr>
          <w:p>
            <w:pPr>
              <w:spacing w:after="0"/>
              <w:rPr>
                <w:sz w:val="19"/>
                <w:szCs w:val="19"/>
                <w:color w:val="auto"/>
              </w:rPr>
            </w:pPr>
          </w:p>
        </w:tc>
        <w:tc>
          <w:tcPr>
            <w:tcW w:w="106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250</w:t>
            </w:r>
          </w:p>
        </w:tc>
        <w:tc>
          <w:tcPr>
            <w:tcW w:w="200" w:type="dxa"/>
            <w:vAlign w:val="bottom"/>
            <w:tcBorders>
              <w:bottom w:val="single" w:sz="8" w:color="BFBFBF"/>
            </w:tcBorders>
          </w:tcPr>
          <w:p>
            <w:pPr>
              <w:spacing w:after="0"/>
              <w:rPr>
                <w:sz w:val="19"/>
                <w:szCs w:val="19"/>
                <w:color w:val="auto"/>
              </w:rPr>
            </w:pPr>
          </w:p>
        </w:tc>
        <w:tc>
          <w:tcPr>
            <w:tcW w:w="1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299</w:t>
            </w:r>
          </w:p>
        </w:tc>
        <w:tc>
          <w:tcPr>
            <w:tcW w:w="20" w:type="dxa"/>
            <w:vAlign w:val="bottom"/>
            <w:tcBorders>
              <w:bottom w:val="single" w:sz="8" w:color="BFBFBF"/>
            </w:tcBorders>
          </w:tcPr>
          <w:p>
            <w:pPr>
              <w:spacing w:after="0"/>
              <w:rPr>
                <w:sz w:val="19"/>
                <w:szCs w:val="19"/>
                <w:color w:val="auto"/>
              </w:rPr>
            </w:pPr>
          </w:p>
        </w:tc>
        <w:tc>
          <w:tcPr>
            <w:tcW w:w="60" w:type="dxa"/>
            <w:vAlign w:val="bottom"/>
            <w:tcBorders>
              <w:bottom w:val="single" w:sz="8" w:color="BFBFBF"/>
            </w:tcBorders>
          </w:tcPr>
          <w:p>
            <w:pPr>
              <w:spacing w:after="0"/>
              <w:rPr>
                <w:sz w:val="19"/>
                <w:szCs w:val="19"/>
                <w:color w:val="auto"/>
              </w:rPr>
            </w:pPr>
          </w:p>
        </w:tc>
        <w:tc>
          <w:tcPr>
            <w:tcW w:w="4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200" w:type="dxa"/>
            <w:vAlign w:val="bottom"/>
            <w:tcBorders>
              <w:bottom w:val="single" w:sz="8" w:color="BFBFBF"/>
            </w:tcBorders>
          </w:tcPr>
          <w:p>
            <w:pPr>
              <w:jc w:val="right"/>
              <w:ind w:right="35"/>
              <w:spacing w:after="0"/>
              <w:rPr>
                <w:sz w:val="20"/>
                <w:szCs w:val="20"/>
                <w:color w:val="auto"/>
              </w:rPr>
            </w:pPr>
            <w:r>
              <w:rPr>
                <w:rFonts w:ascii="Arial" w:cs="Arial" w:eastAsia="Arial" w:hAnsi="Arial"/>
                <w:sz w:val="18"/>
                <w:szCs w:val="18"/>
                <w:color w:val="auto"/>
              </w:rPr>
              <w:t>705</w:t>
            </w:r>
          </w:p>
        </w:tc>
        <w:tc>
          <w:tcPr>
            <w:tcW w:w="200" w:type="dxa"/>
            <w:vAlign w:val="bottom"/>
            <w:tcBorders>
              <w:bottom w:val="single" w:sz="8" w:color="BFBFBF"/>
            </w:tcBorders>
          </w:tcPr>
          <w:p>
            <w:pPr>
              <w:spacing w:after="0"/>
              <w:rPr>
                <w:sz w:val="19"/>
                <w:szCs w:val="19"/>
                <w:color w:val="auto"/>
              </w:rPr>
            </w:pPr>
          </w:p>
        </w:tc>
        <w:tc>
          <w:tcPr>
            <w:tcW w:w="1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Control Systems</w:t>
            </w:r>
          </w:p>
        </w:tc>
        <w:tc>
          <w:tcPr>
            <w:tcW w:w="100" w:type="dxa"/>
            <w:vAlign w:val="bottom"/>
            <w:tcBorders>
              <w:bottom w:val="single" w:sz="8" w:color="BFBFBF"/>
            </w:tcBorders>
          </w:tcPr>
          <w:p>
            <w:pPr>
              <w:spacing w:after="0"/>
              <w:rPr>
                <w:sz w:val="19"/>
                <w:szCs w:val="19"/>
                <w:color w:val="auto"/>
              </w:rPr>
            </w:pPr>
          </w:p>
        </w:tc>
        <w:tc>
          <w:tcPr>
            <w:tcW w:w="380" w:type="dxa"/>
            <w:vAlign w:val="bottom"/>
            <w:tcBorders>
              <w:bottom w:val="single" w:sz="8" w:color="BFBFBF"/>
            </w:tcBorders>
          </w:tcPr>
          <w:p>
            <w:pPr>
              <w:spacing w:after="0"/>
              <w:rPr>
                <w:sz w:val="19"/>
                <w:szCs w:val="19"/>
                <w:color w:val="auto"/>
              </w:rPr>
            </w:pPr>
          </w:p>
        </w:tc>
        <w:tc>
          <w:tcPr>
            <w:tcW w:w="106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382</w:t>
            </w:r>
          </w:p>
        </w:tc>
        <w:tc>
          <w:tcPr>
            <w:tcW w:w="200" w:type="dxa"/>
            <w:vAlign w:val="bottom"/>
            <w:tcBorders>
              <w:bottom w:val="single" w:sz="8" w:color="BFBFBF"/>
            </w:tcBorders>
          </w:tcPr>
          <w:p>
            <w:pPr>
              <w:spacing w:after="0"/>
              <w:rPr>
                <w:sz w:val="19"/>
                <w:szCs w:val="19"/>
                <w:color w:val="auto"/>
              </w:rPr>
            </w:pPr>
          </w:p>
        </w:tc>
        <w:tc>
          <w:tcPr>
            <w:tcW w:w="1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376</w:t>
            </w:r>
          </w:p>
        </w:tc>
        <w:tc>
          <w:tcPr>
            <w:tcW w:w="20" w:type="dxa"/>
            <w:vAlign w:val="bottom"/>
            <w:tcBorders>
              <w:bottom w:val="single" w:sz="8" w:color="BFBFBF"/>
            </w:tcBorders>
          </w:tcPr>
          <w:p>
            <w:pPr>
              <w:spacing w:after="0"/>
              <w:rPr>
                <w:sz w:val="19"/>
                <w:szCs w:val="19"/>
                <w:color w:val="auto"/>
              </w:rPr>
            </w:pPr>
          </w:p>
        </w:tc>
        <w:tc>
          <w:tcPr>
            <w:tcW w:w="60" w:type="dxa"/>
            <w:vAlign w:val="bottom"/>
            <w:tcBorders>
              <w:bottom w:val="single" w:sz="8" w:color="BFBFBF"/>
            </w:tcBorders>
          </w:tcPr>
          <w:p>
            <w:pPr>
              <w:spacing w:after="0"/>
              <w:rPr>
                <w:sz w:val="19"/>
                <w:szCs w:val="19"/>
                <w:color w:val="auto"/>
              </w:rPr>
            </w:pPr>
          </w:p>
        </w:tc>
        <w:tc>
          <w:tcPr>
            <w:tcW w:w="4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200" w:type="dxa"/>
            <w:vAlign w:val="bottom"/>
            <w:tcBorders>
              <w:bottom w:val="single" w:sz="8" w:color="BFBFBF"/>
            </w:tcBorders>
          </w:tcPr>
          <w:p>
            <w:pPr>
              <w:jc w:val="right"/>
              <w:ind w:right="35"/>
              <w:spacing w:after="0"/>
              <w:rPr>
                <w:sz w:val="20"/>
                <w:szCs w:val="20"/>
                <w:color w:val="auto"/>
              </w:rPr>
            </w:pPr>
            <w:r>
              <w:rPr>
                <w:rFonts w:ascii="Arial" w:cs="Arial" w:eastAsia="Arial" w:hAnsi="Arial"/>
                <w:sz w:val="18"/>
                <w:szCs w:val="18"/>
                <w:color w:val="auto"/>
              </w:rPr>
              <w:t>1,098</w:t>
            </w:r>
          </w:p>
        </w:tc>
        <w:tc>
          <w:tcPr>
            <w:tcW w:w="200" w:type="dxa"/>
            <w:vAlign w:val="bottom"/>
            <w:tcBorders>
              <w:bottom w:val="single" w:sz="8" w:color="BFBFBF"/>
            </w:tcBorders>
          </w:tcPr>
          <w:p>
            <w:pPr>
              <w:spacing w:after="0"/>
              <w:rPr>
                <w:sz w:val="19"/>
                <w:szCs w:val="19"/>
                <w:color w:val="auto"/>
              </w:rPr>
            </w:pPr>
          </w:p>
        </w:tc>
        <w:tc>
          <w:tcPr>
            <w:tcW w:w="1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Corporate and All Other</w:t>
            </w:r>
          </w:p>
        </w:tc>
        <w:tc>
          <w:tcPr>
            <w:tcW w:w="100" w:type="dxa"/>
            <w:vAlign w:val="bottom"/>
            <w:tcBorders>
              <w:bottom w:val="single" w:sz="8" w:color="384348"/>
            </w:tcBorders>
          </w:tcPr>
          <w:p>
            <w:pPr>
              <w:spacing w:after="0"/>
              <w:rPr>
                <w:sz w:val="19"/>
                <w:szCs w:val="19"/>
                <w:color w:val="auto"/>
              </w:rPr>
            </w:pPr>
          </w:p>
        </w:tc>
        <w:tc>
          <w:tcPr>
            <w:tcW w:w="380" w:type="dxa"/>
            <w:vAlign w:val="bottom"/>
            <w:tcBorders>
              <w:bottom w:val="single" w:sz="8" w:color="384348"/>
            </w:tcBorders>
          </w:tcPr>
          <w:p>
            <w:pPr>
              <w:spacing w:after="0"/>
              <w:rPr>
                <w:sz w:val="19"/>
                <w:szCs w:val="19"/>
                <w:color w:val="auto"/>
              </w:rPr>
            </w:pPr>
          </w:p>
        </w:tc>
        <w:tc>
          <w:tcPr>
            <w:tcW w:w="106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384348"/>
            </w:tcBorders>
          </w:tcPr>
          <w:p>
            <w:pPr>
              <w:spacing w:after="0"/>
              <w:rPr>
                <w:sz w:val="19"/>
                <w:szCs w:val="19"/>
                <w:color w:val="auto"/>
              </w:rPr>
            </w:pPr>
          </w:p>
        </w:tc>
        <w:tc>
          <w:tcPr>
            <w:tcW w:w="116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384348"/>
            </w:tcBorders>
          </w:tcPr>
          <w:p>
            <w:pPr>
              <w:spacing w:after="0"/>
              <w:rPr>
                <w:sz w:val="19"/>
                <w:szCs w:val="19"/>
                <w:color w:val="auto"/>
              </w:rPr>
            </w:pPr>
          </w:p>
        </w:tc>
        <w:tc>
          <w:tcPr>
            <w:tcW w:w="60" w:type="dxa"/>
            <w:vAlign w:val="bottom"/>
            <w:tcBorders>
              <w:bottom w:val="single" w:sz="8" w:color="384348"/>
            </w:tcBorders>
          </w:tcPr>
          <w:p>
            <w:pPr>
              <w:spacing w:after="0"/>
              <w:rPr>
                <w:sz w:val="19"/>
                <w:szCs w:val="19"/>
                <w:color w:val="auto"/>
              </w:rPr>
            </w:pPr>
          </w:p>
        </w:tc>
        <w:tc>
          <w:tcPr>
            <w:tcW w:w="40" w:type="dxa"/>
            <w:vAlign w:val="bottom"/>
            <w:tcBorders>
              <w:bottom w:val="single" w:sz="8" w:color="384348"/>
            </w:tcBorders>
          </w:tcPr>
          <w:p>
            <w:pPr>
              <w:spacing w:after="0"/>
              <w:rPr>
                <w:sz w:val="19"/>
                <w:szCs w:val="19"/>
                <w:color w:val="auto"/>
              </w:rPr>
            </w:pPr>
          </w:p>
        </w:tc>
        <w:tc>
          <w:tcPr>
            <w:tcW w:w="120" w:type="dxa"/>
            <w:vAlign w:val="bottom"/>
            <w:tcBorders>
              <w:bottom w:val="single" w:sz="8" w:color="384348"/>
            </w:tcBorders>
          </w:tcPr>
          <w:p>
            <w:pPr>
              <w:spacing w:after="0"/>
              <w:rPr>
                <w:sz w:val="19"/>
                <w:szCs w:val="19"/>
                <w:color w:val="auto"/>
              </w:rPr>
            </w:pPr>
          </w:p>
        </w:tc>
        <w:tc>
          <w:tcPr>
            <w:tcW w:w="1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bottom w:val="single" w:sz="8" w:color="384348"/>
            </w:tcBorders>
          </w:tcPr>
          <w:p>
            <w:pPr>
              <w:spacing w:after="0"/>
              <w:rPr>
                <w:sz w:val="19"/>
                <w:szCs w:val="19"/>
                <w:color w:val="auto"/>
              </w:rPr>
            </w:pPr>
          </w:p>
        </w:tc>
        <w:tc>
          <w:tcPr>
            <w:tcW w:w="116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384348"/>
            </w:tcBorders>
          </w:tcPr>
          <w:p>
            <w:pPr>
              <w:ind w:left="140"/>
              <w:spacing w:after="0"/>
              <w:rPr>
                <w:sz w:val="20"/>
                <w:szCs w:val="20"/>
                <w:color w:val="auto"/>
              </w:rPr>
            </w:pPr>
            <w:r>
              <w:rPr>
                <w:rFonts w:ascii="Arial" w:cs="Arial" w:eastAsia="Arial" w:hAnsi="Arial"/>
                <w:sz w:val="18"/>
                <w:szCs w:val="18"/>
                <w:b w:val="1"/>
                <w:bCs w:val="1"/>
                <w:color w:val="auto"/>
              </w:rPr>
              <w:t>Total Segment profit</w:t>
            </w:r>
          </w:p>
        </w:tc>
        <w:tc>
          <w:tcPr>
            <w:tcW w:w="100" w:type="dxa"/>
            <w:vAlign w:val="bottom"/>
            <w:tcBorders>
              <w:bottom w:val="single" w:sz="8" w:color="384348"/>
            </w:tcBorders>
          </w:tcPr>
          <w:p>
            <w:pPr>
              <w:spacing w:after="0"/>
              <w:rPr>
                <w:sz w:val="19"/>
                <w:szCs w:val="19"/>
                <w:color w:val="auto"/>
              </w:rPr>
            </w:pPr>
          </w:p>
        </w:tc>
        <w:tc>
          <w:tcPr>
            <w:tcW w:w="380" w:type="dxa"/>
            <w:vAlign w:val="bottom"/>
            <w:tcBorders>
              <w:bottom w:val="single" w:sz="8" w:color="384348"/>
            </w:tcBorders>
          </w:tcPr>
          <w:p>
            <w:pPr>
              <w:spacing w:after="0"/>
              <w:rPr>
                <w:sz w:val="19"/>
                <w:szCs w:val="19"/>
                <w:color w:val="auto"/>
              </w:rPr>
            </w:pPr>
          </w:p>
        </w:tc>
        <w:tc>
          <w:tcPr>
            <w:tcW w:w="106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b w:val="1"/>
                <w:bCs w:val="1"/>
                <w:color w:val="auto"/>
              </w:rPr>
              <w:t>1,161</w:t>
            </w:r>
          </w:p>
        </w:tc>
        <w:tc>
          <w:tcPr>
            <w:tcW w:w="200" w:type="dxa"/>
            <w:vAlign w:val="bottom"/>
            <w:tcBorders>
              <w:bottom w:val="single" w:sz="8" w:color="384348"/>
            </w:tcBorders>
          </w:tcPr>
          <w:p>
            <w:pPr>
              <w:spacing w:after="0"/>
              <w:rPr>
                <w:sz w:val="19"/>
                <w:szCs w:val="19"/>
                <w:color w:val="auto"/>
              </w:rPr>
            </w:pPr>
          </w:p>
        </w:tc>
        <w:tc>
          <w:tcPr>
            <w:tcW w:w="11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1,151</w:t>
            </w:r>
          </w:p>
        </w:tc>
        <w:tc>
          <w:tcPr>
            <w:tcW w:w="20" w:type="dxa"/>
            <w:vAlign w:val="bottom"/>
            <w:tcBorders>
              <w:bottom w:val="single" w:sz="8" w:color="384348"/>
            </w:tcBorders>
          </w:tcPr>
          <w:p>
            <w:pPr>
              <w:spacing w:after="0"/>
              <w:rPr>
                <w:sz w:val="19"/>
                <w:szCs w:val="19"/>
                <w:color w:val="auto"/>
              </w:rPr>
            </w:pPr>
          </w:p>
        </w:tc>
        <w:tc>
          <w:tcPr>
            <w:tcW w:w="60" w:type="dxa"/>
            <w:vAlign w:val="bottom"/>
            <w:tcBorders>
              <w:bottom w:val="single" w:sz="8" w:color="384348"/>
            </w:tcBorders>
          </w:tcPr>
          <w:p>
            <w:pPr>
              <w:spacing w:after="0"/>
              <w:rPr>
                <w:sz w:val="19"/>
                <w:szCs w:val="19"/>
                <w:color w:val="auto"/>
              </w:rPr>
            </w:pPr>
          </w:p>
        </w:tc>
        <w:tc>
          <w:tcPr>
            <w:tcW w:w="40" w:type="dxa"/>
            <w:vAlign w:val="bottom"/>
            <w:tcBorders>
              <w:bottom w:val="single" w:sz="8" w:color="384348"/>
            </w:tcBorders>
          </w:tcPr>
          <w:p>
            <w:pPr>
              <w:spacing w:after="0"/>
              <w:rPr>
                <w:sz w:val="19"/>
                <w:szCs w:val="19"/>
                <w:color w:val="auto"/>
              </w:rPr>
            </w:pPr>
          </w:p>
        </w:tc>
        <w:tc>
          <w:tcPr>
            <w:tcW w:w="120" w:type="dxa"/>
            <w:vAlign w:val="bottom"/>
            <w:tcBorders>
              <w:bottom w:val="single" w:sz="8" w:color="384348"/>
            </w:tcBorders>
          </w:tcPr>
          <w:p>
            <w:pPr>
              <w:spacing w:after="0"/>
              <w:rPr>
                <w:sz w:val="19"/>
                <w:szCs w:val="19"/>
                <w:color w:val="auto"/>
              </w:rPr>
            </w:pPr>
          </w:p>
        </w:tc>
        <w:tc>
          <w:tcPr>
            <w:tcW w:w="1200" w:type="dxa"/>
            <w:vAlign w:val="bottom"/>
            <w:tcBorders>
              <w:bottom w:val="single" w:sz="8" w:color="384348"/>
            </w:tcBorders>
          </w:tcPr>
          <w:p>
            <w:pPr>
              <w:jc w:val="right"/>
              <w:ind w:right="35"/>
              <w:spacing w:after="0"/>
              <w:rPr>
                <w:sz w:val="20"/>
                <w:szCs w:val="20"/>
                <w:color w:val="auto"/>
              </w:rPr>
            </w:pPr>
            <w:r>
              <w:rPr>
                <w:rFonts w:ascii="Arial" w:cs="Arial" w:eastAsia="Arial" w:hAnsi="Arial"/>
                <w:sz w:val="18"/>
                <w:szCs w:val="18"/>
                <w:b w:val="1"/>
                <w:bCs w:val="1"/>
                <w:color w:val="auto"/>
              </w:rPr>
              <w:t>3,251</w:t>
            </w:r>
          </w:p>
        </w:tc>
        <w:tc>
          <w:tcPr>
            <w:tcW w:w="200" w:type="dxa"/>
            <w:vAlign w:val="bottom"/>
            <w:tcBorders>
              <w:bottom w:val="single" w:sz="8" w:color="384348"/>
            </w:tcBorders>
          </w:tcPr>
          <w:p>
            <w:pPr>
              <w:spacing w:after="0"/>
              <w:rPr>
                <w:sz w:val="19"/>
                <w:szCs w:val="19"/>
                <w:color w:val="auto"/>
              </w:rPr>
            </w:pPr>
          </w:p>
        </w:tc>
        <w:tc>
          <w:tcPr>
            <w:tcW w:w="11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3,257</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BFBFBF"/>
            </w:tcBorders>
          </w:tcPr>
          <w:p>
            <w:pPr>
              <w:ind w:left="140"/>
              <w:spacing w:after="0" w:line="223" w:lineRule="exact"/>
              <w:rPr>
                <w:sz w:val="20"/>
                <w:szCs w:val="20"/>
                <w:color w:val="auto"/>
              </w:rPr>
            </w:pPr>
            <w:r>
              <w:rPr>
                <w:rFonts w:ascii="Arial" w:cs="Arial" w:eastAsia="Arial" w:hAnsi="Arial"/>
                <w:sz w:val="18"/>
                <w:szCs w:val="18"/>
                <w:color w:val="auto"/>
              </w:rPr>
              <w:t>Amortization of acquisition-related intangibles</w:t>
            </w:r>
            <w:r>
              <w:rPr>
                <w:rFonts w:ascii="Arial" w:cs="Arial" w:eastAsia="Arial" w:hAnsi="Arial"/>
                <w:sz w:val="23"/>
                <w:szCs w:val="23"/>
                <w:color w:val="auto"/>
                <w:vertAlign w:val="superscript"/>
              </w:rPr>
              <w:t>1</w:t>
            </w:r>
          </w:p>
        </w:tc>
        <w:tc>
          <w:tcPr>
            <w:tcW w:w="100" w:type="dxa"/>
            <w:vAlign w:val="bottom"/>
            <w:tcBorders>
              <w:bottom w:val="single" w:sz="8" w:color="BFBFBF"/>
            </w:tcBorders>
          </w:tcPr>
          <w:p>
            <w:pPr>
              <w:spacing w:after="0"/>
              <w:rPr>
                <w:sz w:val="19"/>
                <w:szCs w:val="19"/>
                <w:color w:val="auto"/>
              </w:rPr>
            </w:pPr>
          </w:p>
        </w:tc>
        <w:tc>
          <w:tcPr>
            <w:tcW w:w="380" w:type="dxa"/>
            <w:vAlign w:val="bottom"/>
            <w:tcBorders>
              <w:bottom w:val="single" w:sz="8" w:color="BFBFBF"/>
            </w:tcBorders>
          </w:tcPr>
          <w:p>
            <w:pPr>
              <w:spacing w:after="0"/>
              <w:rPr>
                <w:sz w:val="19"/>
                <w:szCs w:val="19"/>
                <w:color w:val="auto"/>
              </w:rPr>
            </w:pPr>
          </w:p>
        </w:tc>
        <w:tc>
          <w:tcPr>
            <w:tcW w:w="10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BFBFBF"/>
            </w:tcBorders>
          </w:tcPr>
          <w:p>
            <w:pPr>
              <w:spacing w:after="0"/>
              <w:rPr>
                <w:sz w:val="19"/>
                <w:szCs w:val="19"/>
                <w:color w:val="auto"/>
              </w:rPr>
            </w:pPr>
          </w:p>
        </w:tc>
        <w:tc>
          <w:tcPr>
            <w:tcW w:w="1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BFBFBF"/>
            </w:tcBorders>
          </w:tcPr>
          <w:p>
            <w:pPr>
              <w:spacing w:after="0"/>
              <w:rPr>
                <w:sz w:val="19"/>
                <w:szCs w:val="19"/>
                <w:color w:val="auto"/>
              </w:rPr>
            </w:pPr>
          </w:p>
        </w:tc>
        <w:tc>
          <w:tcPr>
            <w:tcW w:w="60" w:type="dxa"/>
            <w:vAlign w:val="bottom"/>
            <w:tcBorders>
              <w:bottom w:val="single" w:sz="8" w:color="BFBFBF"/>
            </w:tcBorders>
          </w:tcPr>
          <w:p>
            <w:pPr>
              <w:spacing w:after="0"/>
              <w:rPr>
                <w:sz w:val="19"/>
                <w:szCs w:val="19"/>
                <w:color w:val="auto"/>
              </w:rPr>
            </w:pPr>
          </w:p>
        </w:tc>
        <w:tc>
          <w:tcPr>
            <w:tcW w:w="4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bottom w:val="single" w:sz="8" w:color="BFBFBF"/>
            </w:tcBorders>
          </w:tcPr>
          <w:p>
            <w:pPr>
              <w:spacing w:after="0"/>
              <w:rPr>
                <w:sz w:val="19"/>
                <w:szCs w:val="19"/>
                <w:color w:val="auto"/>
              </w:rPr>
            </w:pPr>
          </w:p>
        </w:tc>
        <w:tc>
          <w:tcPr>
            <w:tcW w:w="1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BFBFBF"/>
            </w:tcBorders>
          </w:tcPr>
          <w:p>
            <w:pPr>
              <w:ind w:left="140"/>
              <w:spacing w:after="0" w:line="223" w:lineRule="exact"/>
              <w:rPr>
                <w:sz w:val="20"/>
                <w:szCs w:val="20"/>
                <w:color w:val="auto"/>
              </w:rPr>
            </w:pPr>
            <w:r>
              <w:rPr>
                <w:rFonts w:ascii="Arial" w:cs="Arial" w:eastAsia="Arial" w:hAnsi="Arial"/>
                <w:sz w:val="18"/>
                <w:szCs w:val="18"/>
                <w:color w:val="auto"/>
              </w:rPr>
              <w:t>Stock compensation expense</w:t>
            </w:r>
            <w:r>
              <w:rPr>
                <w:rFonts w:ascii="Arial" w:cs="Arial" w:eastAsia="Arial" w:hAnsi="Arial"/>
                <w:sz w:val="23"/>
                <w:szCs w:val="23"/>
                <w:color w:val="auto"/>
                <w:vertAlign w:val="superscript"/>
              </w:rPr>
              <w:t>2</w:t>
            </w:r>
          </w:p>
        </w:tc>
        <w:tc>
          <w:tcPr>
            <w:tcW w:w="100" w:type="dxa"/>
            <w:vAlign w:val="bottom"/>
            <w:tcBorders>
              <w:bottom w:val="single" w:sz="8" w:color="BFBFBF"/>
            </w:tcBorders>
          </w:tcPr>
          <w:p>
            <w:pPr>
              <w:spacing w:after="0"/>
              <w:rPr>
                <w:sz w:val="19"/>
                <w:szCs w:val="19"/>
                <w:color w:val="auto"/>
              </w:rPr>
            </w:pPr>
          </w:p>
        </w:tc>
        <w:tc>
          <w:tcPr>
            <w:tcW w:w="380" w:type="dxa"/>
            <w:vAlign w:val="bottom"/>
            <w:tcBorders>
              <w:bottom w:val="single" w:sz="8" w:color="BFBFBF"/>
            </w:tcBorders>
          </w:tcPr>
          <w:p>
            <w:pPr>
              <w:spacing w:after="0"/>
              <w:rPr>
                <w:sz w:val="19"/>
                <w:szCs w:val="19"/>
                <w:color w:val="auto"/>
              </w:rPr>
            </w:pPr>
          </w:p>
        </w:tc>
        <w:tc>
          <w:tcPr>
            <w:tcW w:w="10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BFBFBF"/>
            </w:tcBorders>
          </w:tcPr>
          <w:p>
            <w:pPr>
              <w:spacing w:after="0"/>
              <w:rPr>
                <w:sz w:val="19"/>
                <w:szCs w:val="19"/>
                <w:color w:val="auto"/>
              </w:rPr>
            </w:pPr>
          </w:p>
        </w:tc>
        <w:tc>
          <w:tcPr>
            <w:tcW w:w="1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BFBFBF"/>
            </w:tcBorders>
          </w:tcPr>
          <w:p>
            <w:pPr>
              <w:spacing w:after="0"/>
              <w:rPr>
                <w:sz w:val="19"/>
                <w:szCs w:val="19"/>
                <w:color w:val="auto"/>
              </w:rPr>
            </w:pPr>
          </w:p>
        </w:tc>
        <w:tc>
          <w:tcPr>
            <w:tcW w:w="60" w:type="dxa"/>
            <w:vAlign w:val="bottom"/>
            <w:tcBorders>
              <w:bottom w:val="single" w:sz="8" w:color="BFBFBF"/>
            </w:tcBorders>
          </w:tcPr>
          <w:p>
            <w:pPr>
              <w:spacing w:after="0"/>
              <w:rPr>
                <w:sz w:val="19"/>
                <w:szCs w:val="19"/>
                <w:color w:val="auto"/>
              </w:rPr>
            </w:pPr>
          </w:p>
        </w:tc>
        <w:tc>
          <w:tcPr>
            <w:tcW w:w="4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(89)</w:t>
            </w:r>
          </w:p>
        </w:tc>
        <w:tc>
          <w:tcPr>
            <w:tcW w:w="200" w:type="dxa"/>
            <w:vAlign w:val="bottom"/>
            <w:tcBorders>
              <w:bottom w:val="single" w:sz="8" w:color="BFBFBF"/>
            </w:tcBorders>
          </w:tcPr>
          <w:p>
            <w:pPr>
              <w:spacing w:after="0"/>
              <w:rPr>
                <w:sz w:val="19"/>
                <w:szCs w:val="19"/>
                <w:color w:val="auto"/>
              </w:rPr>
            </w:pPr>
          </w:p>
        </w:tc>
        <w:tc>
          <w:tcPr>
            <w:tcW w:w="1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BFBFBF"/>
            </w:tcBorders>
          </w:tcPr>
          <w:p>
            <w:pPr>
              <w:ind w:left="140"/>
              <w:spacing w:after="0" w:line="223" w:lineRule="exact"/>
              <w:rPr>
                <w:sz w:val="20"/>
                <w:szCs w:val="20"/>
                <w:color w:val="auto"/>
              </w:rPr>
            </w:pPr>
            <w:r>
              <w:rPr>
                <w:rFonts w:ascii="Arial" w:cs="Arial" w:eastAsia="Arial" w:hAnsi="Arial"/>
                <w:sz w:val="18"/>
                <w:szCs w:val="18"/>
                <w:color w:val="auto"/>
              </w:rPr>
              <w:t>Transaction costs</w:t>
            </w:r>
            <w:r>
              <w:rPr>
                <w:rFonts w:ascii="Arial" w:cs="Arial" w:eastAsia="Arial" w:hAnsi="Arial"/>
                <w:sz w:val="23"/>
                <w:szCs w:val="23"/>
                <w:color w:val="auto"/>
                <w:vertAlign w:val="superscript"/>
              </w:rPr>
              <w:t>3</w:t>
            </w:r>
          </w:p>
        </w:tc>
        <w:tc>
          <w:tcPr>
            <w:tcW w:w="100" w:type="dxa"/>
            <w:vAlign w:val="bottom"/>
            <w:tcBorders>
              <w:bottom w:val="single" w:sz="8" w:color="BFBFBF"/>
            </w:tcBorders>
          </w:tcPr>
          <w:p>
            <w:pPr>
              <w:spacing w:after="0"/>
              <w:rPr>
                <w:sz w:val="19"/>
                <w:szCs w:val="19"/>
                <w:color w:val="auto"/>
              </w:rPr>
            </w:pPr>
          </w:p>
        </w:tc>
        <w:tc>
          <w:tcPr>
            <w:tcW w:w="380" w:type="dxa"/>
            <w:vAlign w:val="bottom"/>
            <w:tcBorders>
              <w:bottom w:val="single" w:sz="8" w:color="BFBFBF"/>
            </w:tcBorders>
          </w:tcPr>
          <w:p>
            <w:pPr>
              <w:spacing w:after="0"/>
              <w:rPr>
                <w:sz w:val="19"/>
                <w:szCs w:val="19"/>
                <w:color w:val="auto"/>
              </w:rPr>
            </w:pPr>
          </w:p>
        </w:tc>
        <w:tc>
          <w:tcPr>
            <w:tcW w:w="10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BFBFBF"/>
            </w:tcBorders>
          </w:tcPr>
          <w:p>
            <w:pPr>
              <w:spacing w:after="0"/>
              <w:rPr>
                <w:sz w:val="19"/>
                <w:szCs w:val="19"/>
                <w:color w:val="auto"/>
              </w:rPr>
            </w:pPr>
          </w:p>
        </w:tc>
        <w:tc>
          <w:tcPr>
            <w:tcW w:w="1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(143)</w:t>
            </w:r>
          </w:p>
        </w:tc>
        <w:tc>
          <w:tcPr>
            <w:tcW w:w="20" w:type="dxa"/>
            <w:vAlign w:val="bottom"/>
            <w:tcBorders>
              <w:bottom w:val="single" w:sz="8" w:color="BFBFBF"/>
            </w:tcBorders>
          </w:tcPr>
          <w:p>
            <w:pPr>
              <w:spacing w:after="0"/>
              <w:rPr>
                <w:sz w:val="19"/>
                <w:szCs w:val="19"/>
                <w:color w:val="auto"/>
              </w:rPr>
            </w:pPr>
          </w:p>
        </w:tc>
        <w:tc>
          <w:tcPr>
            <w:tcW w:w="60" w:type="dxa"/>
            <w:vAlign w:val="bottom"/>
            <w:tcBorders>
              <w:bottom w:val="single" w:sz="8" w:color="BFBFBF"/>
            </w:tcBorders>
          </w:tcPr>
          <w:p>
            <w:pPr>
              <w:spacing w:after="0"/>
              <w:rPr>
                <w:sz w:val="19"/>
                <w:szCs w:val="19"/>
                <w:color w:val="auto"/>
              </w:rPr>
            </w:pPr>
          </w:p>
        </w:tc>
        <w:tc>
          <w:tcPr>
            <w:tcW w:w="4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(540)</w:t>
            </w:r>
          </w:p>
        </w:tc>
        <w:tc>
          <w:tcPr>
            <w:tcW w:w="200" w:type="dxa"/>
            <w:vAlign w:val="bottom"/>
            <w:tcBorders>
              <w:bottom w:val="single" w:sz="8" w:color="BFBFBF"/>
            </w:tcBorders>
          </w:tcPr>
          <w:p>
            <w:pPr>
              <w:spacing w:after="0"/>
              <w:rPr>
                <w:sz w:val="19"/>
                <w:szCs w:val="19"/>
                <w:color w:val="auto"/>
              </w:rPr>
            </w:pPr>
          </w:p>
        </w:tc>
        <w:tc>
          <w:tcPr>
            <w:tcW w:w="1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BFBFBF"/>
            </w:tcBorders>
          </w:tcPr>
          <w:p>
            <w:pPr>
              <w:ind w:left="140"/>
              <w:spacing w:after="0" w:line="223" w:lineRule="exact"/>
              <w:rPr>
                <w:sz w:val="20"/>
                <w:szCs w:val="20"/>
                <w:color w:val="auto"/>
              </w:rPr>
            </w:pPr>
            <w:r>
              <w:rPr>
                <w:rFonts w:ascii="Arial" w:cs="Arial" w:eastAsia="Arial" w:hAnsi="Arial"/>
                <w:sz w:val="18"/>
                <w:szCs w:val="18"/>
                <w:color w:val="auto"/>
              </w:rPr>
              <w:t>Environmental expenses</w:t>
            </w:r>
            <w:r>
              <w:rPr>
                <w:rFonts w:ascii="Arial" w:cs="Arial" w:eastAsia="Arial" w:hAnsi="Arial"/>
                <w:sz w:val="23"/>
                <w:szCs w:val="23"/>
                <w:color w:val="auto"/>
                <w:vertAlign w:val="superscript"/>
              </w:rPr>
              <w:t>4</w:t>
            </w:r>
          </w:p>
        </w:tc>
        <w:tc>
          <w:tcPr>
            <w:tcW w:w="100" w:type="dxa"/>
            <w:vAlign w:val="bottom"/>
            <w:tcBorders>
              <w:bottom w:val="single" w:sz="8" w:color="BFBFBF"/>
            </w:tcBorders>
          </w:tcPr>
          <w:p>
            <w:pPr>
              <w:spacing w:after="0"/>
              <w:rPr>
                <w:sz w:val="19"/>
                <w:szCs w:val="19"/>
                <w:color w:val="auto"/>
              </w:rPr>
            </w:pPr>
          </w:p>
        </w:tc>
        <w:tc>
          <w:tcPr>
            <w:tcW w:w="380" w:type="dxa"/>
            <w:vAlign w:val="bottom"/>
            <w:tcBorders>
              <w:bottom w:val="single" w:sz="8" w:color="BFBFBF"/>
            </w:tcBorders>
          </w:tcPr>
          <w:p>
            <w:pPr>
              <w:spacing w:after="0"/>
              <w:rPr>
                <w:sz w:val="19"/>
                <w:szCs w:val="19"/>
                <w:color w:val="auto"/>
              </w:rPr>
            </w:pPr>
          </w:p>
        </w:tc>
        <w:tc>
          <w:tcPr>
            <w:tcW w:w="10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BFBFBF"/>
            </w:tcBorders>
          </w:tcPr>
          <w:p>
            <w:pPr>
              <w:spacing w:after="0"/>
              <w:rPr>
                <w:sz w:val="19"/>
                <w:szCs w:val="19"/>
                <w:color w:val="auto"/>
              </w:rPr>
            </w:pPr>
          </w:p>
        </w:tc>
        <w:tc>
          <w:tcPr>
            <w:tcW w:w="1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(258)</w:t>
            </w:r>
          </w:p>
        </w:tc>
        <w:tc>
          <w:tcPr>
            <w:tcW w:w="20" w:type="dxa"/>
            <w:vAlign w:val="bottom"/>
            <w:tcBorders>
              <w:bottom w:val="single" w:sz="8" w:color="BFBFBF"/>
            </w:tcBorders>
          </w:tcPr>
          <w:p>
            <w:pPr>
              <w:spacing w:after="0"/>
              <w:rPr>
                <w:sz w:val="19"/>
                <w:szCs w:val="19"/>
                <w:color w:val="auto"/>
              </w:rPr>
            </w:pPr>
          </w:p>
        </w:tc>
        <w:tc>
          <w:tcPr>
            <w:tcW w:w="60" w:type="dxa"/>
            <w:vAlign w:val="bottom"/>
            <w:tcBorders>
              <w:bottom w:val="single" w:sz="8" w:color="BFBFBF"/>
            </w:tcBorders>
          </w:tcPr>
          <w:p>
            <w:pPr>
              <w:spacing w:after="0"/>
              <w:rPr>
                <w:sz w:val="19"/>
                <w:szCs w:val="19"/>
                <w:color w:val="auto"/>
              </w:rPr>
            </w:pPr>
          </w:p>
        </w:tc>
        <w:tc>
          <w:tcPr>
            <w:tcW w:w="4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(61)</w:t>
            </w:r>
          </w:p>
        </w:tc>
        <w:tc>
          <w:tcPr>
            <w:tcW w:w="200" w:type="dxa"/>
            <w:vAlign w:val="bottom"/>
            <w:tcBorders>
              <w:bottom w:val="single" w:sz="8" w:color="BFBFBF"/>
            </w:tcBorders>
          </w:tcPr>
          <w:p>
            <w:pPr>
              <w:spacing w:after="0"/>
              <w:rPr>
                <w:sz w:val="19"/>
                <w:szCs w:val="19"/>
                <w:color w:val="auto"/>
              </w:rPr>
            </w:pPr>
          </w:p>
        </w:tc>
        <w:tc>
          <w:tcPr>
            <w:tcW w:w="1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BFBFBF"/>
            </w:tcBorders>
          </w:tcPr>
          <w:p>
            <w:pPr>
              <w:ind w:left="140"/>
              <w:spacing w:after="0" w:line="223" w:lineRule="exact"/>
              <w:rPr>
                <w:sz w:val="20"/>
                <w:szCs w:val="20"/>
                <w:color w:val="auto"/>
              </w:rPr>
            </w:pPr>
            <w:r>
              <w:rPr>
                <w:rFonts w:ascii="Arial" w:cs="Arial" w:eastAsia="Arial" w:hAnsi="Arial"/>
                <w:sz w:val="18"/>
                <w:szCs w:val="18"/>
                <w:color w:val="auto"/>
              </w:rPr>
              <w:t>Honeywell trademark license expense</w:t>
            </w:r>
            <w:r>
              <w:rPr>
                <w:rFonts w:ascii="Arial" w:cs="Arial" w:eastAsia="Arial" w:hAnsi="Arial"/>
                <w:sz w:val="23"/>
                <w:szCs w:val="23"/>
                <w:color w:val="auto"/>
                <w:vertAlign w:val="superscript"/>
              </w:rPr>
              <w:t>2</w:t>
            </w:r>
          </w:p>
        </w:tc>
        <w:tc>
          <w:tcPr>
            <w:tcW w:w="100" w:type="dxa"/>
            <w:vAlign w:val="bottom"/>
            <w:tcBorders>
              <w:bottom w:val="single" w:sz="8" w:color="BFBFBF"/>
            </w:tcBorders>
          </w:tcPr>
          <w:p>
            <w:pPr>
              <w:spacing w:after="0"/>
              <w:rPr>
                <w:sz w:val="19"/>
                <w:szCs w:val="19"/>
                <w:color w:val="auto"/>
              </w:rPr>
            </w:pPr>
          </w:p>
        </w:tc>
        <w:tc>
          <w:tcPr>
            <w:tcW w:w="380" w:type="dxa"/>
            <w:vAlign w:val="bottom"/>
            <w:tcBorders>
              <w:bottom w:val="single" w:sz="8" w:color="BFBFBF"/>
            </w:tcBorders>
          </w:tcPr>
          <w:p>
            <w:pPr>
              <w:spacing w:after="0"/>
              <w:rPr>
                <w:sz w:val="19"/>
                <w:szCs w:val="19"/>
                <w:color w:val="auto"/>
              </w:rPr>
            </w:pPr>
          </w:p>
        </w:tc>
        <w:tc>
          <w:tcPr>
            <w:tcW w:w="10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bottom w:val="single" w:sz="8" w:color="BFBFBF"/>
            </w:tcBorders>
          </w:tcPr>
          <w:p>
            <w:pPr>
              <w:spacing w:after="0"/>
              <w:rPr>
                <w:sz w:val="19"/>
                <w:szCs w:val="19"/>
                <w:color w:val="auto"/>
              </w:rPr>
            </w:pPr>
          </w:p>
        </w:tc>
        <w:tc>
          <w:tcPr>
            <w:tcW w:w="1180" w:type="dxa"/>
            <w:vAlign w:val="bottom"/>
            <w:tcBorders>
              <w:bottom w:val="single" w:sz="8" w:color="BFBFB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BFBFBF"/>
            </w:tcBorders>
          </w:tcPr>
          <w:p>
            <w:pPr>
              <w:spacing w:after="0"/>
              <w:rPr>
                <w:sz w:val="19"/>
                <w:szCs w:val="19"/>
                <w:color w:val="auto"/>
              </w:rPr>
            </w:pPr>
          </w:p>
        </w:tc>
        <w:tc>
          <w:tcPr>
            <w:tcW w:w="4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bottom w:val="single" w:sz="8" w:color="BFBFBF"/>
            </w:tcBorders>
          </w:tcPr>
          <w:p>
            <w:pPr>
              <w:spacing w:after="0"/>
              <w:rPr>
                <w:sz w:val="19"/>
                <w:szCs w:val="19"/>
                <w:color w:val="auto"/>
              </w:rPr>
            </w:pPr>
          </w:p>
        </w:tc>
        <w:tc>
          <w:tcPr>
            <w:tcW w:w="1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BFBFBF"/>
            </w:tcBorders>
          </w:tcPr>
          <w:p>
            <w:pPr>
              <w:ind w:left="140"/>
              <w:spacing w:after="0" w:line="223" w:lineRule="exact"/>
              <w:rPr>
                <w:sz w:val="20"/>
                <w:szCs w:val="20"/>
                <w:color w:val="auto"/>
              </w:rPr>
            </w:pPr>
            <w:r>
              <w:rPr>
                <w:rFonts w:ascii="Arial" w:cs="Arial" w:eastAsia="Arial" w:hAnsi="Arial"/>
                <w:sz w:val="18"/>
                <w:szCs w:val="18"/>
                <w:color w:val="auto"/>
              </w:rPr>
              <w:t>Pension income (expense)</w:t>
            </w:r>
            <w:r>
              <w:rPr>
                <w:rFonts w:ascii="Arial" w:cs="Arial" w:eastAsia="Arial" w:hAnsi="Arial"/>
                <w:sz w:val="23"/>
                <w:szCs w:val="23"/>
                <w:color w:val="auto"/>
                <w:vertAlign w:val="superscript"/>
              </w:rPr>
              <w:t>5</w:t>
            </w:r>
          </w:p>
        </w:tc>
        <w:tc>
          <w:tcPr>
            <w:tcW w:w="100" w:type="dxa"/>
            <w:vAlign w:val="bottom"/>
            <w:tcBorders>
              <w:bottom w:val="single" w:sz="8" w:color="BFBFBF"/>
            </w:tcBorders>
          </w:tcPr>
          <w:p>
            <w:pPr>
              <w:spacing w:after="0"/>
              <w:rPr>
                <w:sz w:val="19"/>
                <w:szCs w:val="19"/>
                <w:color w:val="auto"/>
              </w:rPr>
            </w:pPr>
          </w:p>
        </w:tc>
        <w:tc>
          <w:tcPr>
            <w:tcW w:w="380" w:type="dxa"/>
            <w:vAlign w:val="bottom"/>
            <w:tcBorders>
              <w:bottom w:val="single" w:sz="8" w:color="BFBFBF"/>
            </w:tcBorders>
          </w:tcPr>
          <w:p>
            <w:pPr>
              <w:spacing w:after="0"/>
              <w:rPr>
                <w:sz w:val="19"/>
                <w:szCs w:val="19"/>
                <w:color w:val="auto"/>
              </w:rPr>
            </w:pPr>
          </w:p>
        </w:tc>
        <w:tc>
          <w:tcPr>
            <w:tcW w:w="106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76</w:t>
            </w:r>
          </w:p>
        </w:tc>
        <w:tc>
          <w:tcPr>
            <w:tcW w:w="200" w:type="dxa"/>
            <w:vAlign w:val="bottom"/>
            <w:tcBorders>
              <w:bottom w:val="single" w:sz="8" w:color="BFBFBF"/>
            </w:tcBorders>
          </w:tcPr>
          <w:p>
            <w:pPr>
              <w:spacing w:after="0"/>
              <w:rPr>
                <w:sz w:val="19"/>
                <w:szCs w:val="19"/>
                <w:color w:val="auto"/>
              </w:rPr>
            </w:pPr>
          </w:p>
        </w:tc>
        <w:tc>
          <w:tcPr>
            <w:tcW w:w="1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BFBFBF"/>
            </w:tcBorders>
          </w:tcPr>
          <w:p>
            <w:pPr>
              <w:spacing w:after="0"/>
              <w:rPr>
                <w:sz w:val="19"/>
                <w:szCs w:val="19"/>
                <w:color w:val="auto"/>
              </w:rPr>
            </w:pPr>
          </w:p>
        </w:tc>
        <w:tc>
          <w:tcPr>
            <w:tcW w:w="60" w:type="dxa"/>
            <w:vAlign w:val="bottom"/>
            <w:tcBorders>
              <w:bottom w:val="single" w:sz="8" w:color="BFBFBF"/>
            </w:tcBorders>
          </w:tcPr>
          <w:p>
            <w:pPr>
              <w:spacing w:after="0"/>
              <w:rPr>
                <w:sz w:val="19"/>
                <w:szCs w:val="19"/>
                <w:color w:val="auto"/>
              </w:rPr>
            </w:pPr>
          </w:p>
        </w:tc>
        <w:tc>
          <w:tcPr>
            <w:tcW w:w="4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200" w:type="dxa"/>
            <w:vAlign w:val="bottom"/>
            <w:tcBorders>
              <w:bottom w:val="single" w:sz="8" w:color="BFBFBF"/>
            </w:tcBorders>
          </w:tcPr>
          <w:p>
            <w:pPr>
              <w:jc w:val="right"/>
              <w:ind w:right="35"/>
              <w:spacing w:after="0"/>
              <w:rPr>
                <w:sz w:val="20"/>
                <w:szCs w:val="20"/>
                <w:color w:val="auto"/>
              </w:rPr>
            </w:pPr>
            <w:r>
              <w:rPr>
                <w:rFonts w:ascii="Arial" w:cs="Arial" w:eastAsia="Arial" w:hAnsi="Arial"/>
                <w:sz w:val="18"/>
                <w:szCs w:val="18"/>
                <w:color w:val="auto"/>
              </w:rPr>
              <w:t>72</w:t>
            </w:r>
          </w:p>
        </w:tc>
        <w:tc>
          <w:tcPr>
            <w:tcW w:w="200" w:type="dxa"/>
            <w:vAlign w:val="bottom"/>
            <w:tcBorders>
              <w:bottom w:val="single" w:sz="8" w:color="BFBFBF"/>
            </w:tcBorders>
          </w:tcPr>
          <w:p>
            <w:pPr>
              <w:spacing w:after="0"/>
              <w:rPr>
                <w:sz w:val="19"/>
                <w:szCs w:val="19"/>
                <w:color w:val="auto"/>
              </w:rPr>
            </w:pPr>
          </w:p>
        </w:tc>
        <w:tc>
          <w:tcPr>
            <w:tcW w:w="1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BFBFBF"/>
            </w:tcBorders>
          </w:tcPr>
          <w:p>
            <w:pPr>
              <w:ind w:left="140"/>
              <w:spacing w:after="0"/>
              <w:rPr>
                <w:sz w:val="20"/>
                <w:szCs w:val="20"/>
                <w:color w:val="auto"/>
              </w:rPr>
            </w:pPr>
            <w:r>
              <w:rPr>
                <w:rFonts w:ascii="Arial" w:cs="Arial" w:eastAsia="Arial" w:hAnsi="Arial"/>
                <w:sz w:val="18"/>
                <w:szCs w:val="18"/>
                <w:color w:val="auto"/>
              </w:rPr>
              <w:t>Interest (expense) income, net</w:t>
            </w:r>
          </w:p>
        </w:tc>
        <w:tc>
          <w:tcPr>
            <w:tcW w:w="100" w:type="dxa"/>
            <w:vAlign w:val="bottom"/>
            <w:tcBorders>
              <w:bottom w:val="single" w:sz="8" w:color="BFBFBF"/>
            </w:tcBorders>
          </w:tcPr>
          <w:p>
            <w:pPr>
              <w:spacing w:after="0"/>
              <w:rPr>
                <w:sz w:val="19"/>
                <w:szCs w:val="19"/>
                <w:color w:val="auto"/>
              </w:rPr>
            </w:pPr>
          </w:p>
        </w:tc>
        <w:tc>
          <w:tcPr>
            <w:tcW w:w="380" w:type="dxa"/>
            <w:vAlign w:val="bottom"/>
            <w:tcBorders>
              <w:bottom w:val="single" w:sz="8" w:color="BFBFBF"/>
            </w:tcBorders>
          </w:tcPr>
          <w:p>
            <w:pPr>
              <w:spacing w:after="0"/>
              <w:rPr>
                <w:sz w:val="19"/>
                <w:szCs w:val="19"/>
                <w:color w:val="auto"/>
              </w:rPr>
            </w:pPr>
          </w:p>
        </w:tc>
        <w:tc>
          <w:tcPr>
            <w:tcW w:w="10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Borders>
              <w:bottom w:val="single" w:sz="8" w:color="BFBFBF"/>
            </w:tcBorders>
          </w:tcPr>
          <w:p>
            <w:pPr>
              <w:spacing w:after="0"/>
              <w:rPr>
                <w:sz w:val="19"/>
                <w:szCs w:val="19"/>
                <w:color w:val="auto"/>
              </w:rPr>
            </w:pPr>
          </w:p>
        </w:tc>
        <w:tc>
          <w:tcPr>
            <w:tcW w:w="1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BFBFBF"/>
            </w:tcBorders>
          </w:tcPr>
          <w:p>
            <w:pPr>
              <w:spacing w:after="0"/>
              <w:rPr>
                <w:sz w:val="19"/>
                <w:szCs w:val="19"/>
                <w:color w:val="auto"/>
              </w:rPr>
            </w:pPr>
          </w:p>
        </w:tc>
        <w:tc>
          <w:tcPr>
            <w:tcW w:w="60" w:type="dxa"/>
            <w:vAlign w:val="bottom"/>
            <w:tcBorders>
              <w:bottom w:val="single" w:sz="8" w:color="BFBFBF"/>
            </w:tcBorders>
          </w:tcPr>
          <w:p>
            <w:pPr>
              <w:spacing w:after="0"/>
              <w:rPr>
                <w:sz w:val="19"/>
                <w:szCs w:val="19"/>
                <w:color w:val="auto"/>
              </w:rPr>
            </w:pPr>
          </w:p>
        </w:tc>
        <w:tc>
          <w:tcPr>
            <w:tcW w:w="4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120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(404)</w:t>
            </w:r>
          </w:p>
        </w:tc>
        <w:tc>
          <w:tcPr>
            <w:tcW w:w="200" w:type="dxa"/>
            <w:vAlign w:val="bottom"/>
            <w:tcBorders>
              <w:bottom w:val="single" w:sz="8" w:color="BFBFBF"/>
            </w:tcBorders>
          </w:tcPr>
          <w:p>
            <w:pPr>
              <w:spacing w:after="0"/>
              <w:rPr>
                <w:sz w:val="19"/>
                <w:szCs w:val="19"/>
                <w:color w:val="auto"/>
              </w:rPr>
            </w:pPr>
          </w:p>
        </w:tc>
        <w:tc>
          <w:tcPr>
            <w:tcW w:w="11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384348"/>
            </w:tcBorders>
          </w:tcPr>
          <w:p>
            <w:pPr>
              <w:ind w:left="140"/>
              <w:spacing w:after="0" w:line="223" w:lineRule="exact"/>
              <w:rPr>
                <w:sz w:val="20"/>
                <w:szCs w:val="20"/>
                <w:color w:val="auto"/>
              </w:rPr>
            </w:pPr>
            <w:r>
              <w:rPr>
                <w:rFonts w:ascii="Arial" w:cs="Arial" w:eastAsia="Arial" w:hAnsi="Arial"/>
                <w:sz w:val="18"/>
                <w:szCs w:val="18"/>
                <w:color w:val="auto"/>
              </w:rPr>
              <w:t>Other, net</w:t>
            </w:r>
            <w:r>
              <w:rPr>
                <w:rFonts w:ascii="Arial" w:cs="Arial" w:eastAsia="Arial" w:hAnsi="Arial"/>
                <w:sz w:val="23"/>
                <w:szCs w:val="23"/>
                <w:color w:val="auto"/>
                <w:vertAlign w:val="superscript"/>
              </w:rPr>
              <w:t>6</w:t>
            </w:r>
          </w:p>
        </w:tc>
        <w:tc>
          <w:tcPr>
            <w:tcW w:w="100" w:type="dxa"/>
            <w:vAlign w:val="bottom"/>
            <w:tcBorders>
              <w:bottom w:val="single" w:sz="8" w:color="384348"/>
            </w:tcBorders>
          </w:tcPr>
          <w:p>
            <w:pPr>
              <w:spacing w:after="0"/>
              <w:rPr>
                <w:sz w:val="19"/>
                <w:szCs w:val="19"/>
                <w:color w:val="auto"/>
              </w:rPr>
            </w:pPr>
          </w:p>
        </w:tc>
        <w:tc>
          <w:tcPr>
            <w:tcW w:w="380" w:type="dxa"/>
            <w:vAlign w:val="bottom"/>
            <w:tcBorders>
              <w:bottom w:val="single" w:sz="8" w:color="384348"/>
            </w:tcBorders>
          </w:tcPr>
          <w:p>
            <w:pPr>
              <w:spacing w:after="0"/>
              <w:rPr>
                <w:sz w:val="19"/>
                <w:szCs w:val="19"/>
                <w:color w:val="auto"/>
              </w:rPr>
            </w:pPr>
          </w:p>
        </w:tc>
        <w:tc>
          <w:tcPr>
            <w:tcW w:w="106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384348"/>
            </w:tcBorders>
          </w:tcPr>
          <w:p>
            <w:pPr>
              <w:spacing w:after="0"/>
              <w:rPr>
                <w:sz w:val="19"/>
                <w:szCs w:val="19"/>
                <w:color w:val="auto"/>
              </w:rPr>
            </w:pPr>
          </w:p>
        </w:tc>
        <w:tc>
          <w:tcPr>
            <w:tcW w:w="116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384348"/>
            </w:tcBorders>
          </w:tcPr>
          <w:p>
            <w:pPr>
              <w:spacing w:after="0"/>
              <w:rPr>
                <w:sz w:val="19"/>
                <w:szCs w:val="19"/>
                <w:color w:val="auto"/>
              </w:rPr>
            </w:pPr>
          </w:p>
        </w:tc>
        <w:tc>
          <w:tcPr>
            <w:tcW w:w="60" w:type="dxa"/>
            <w:vAlign w:val="bottom"/>
            <w:tcBorders>
              <w:bottom w:val="single" w:sz="8" w:color="384348"/>
            </w:tcBorders>
          </w:tcPr>
          <w:p>
            <w:pPr>
              <w:spacing w:after="0"/>
              <w:rPr>
                <w:sz w:val="19"/>
                <w:szCs w:val="19"/>
                <w:color w:val="auto"/>
              </w:rPr>
            </w:pPr>
          </w:p>
        </w:tc>
        <w:tc>
          <w:tcPr>
            <w:tcW w:w="40" w:type="dxa"/>
            <w:vAlign w:val="bottom"/>
            <w:tcBorders>
              <w:bottom w:val="single" w:sz="8" w:color="384348"/>
            </w:tcBorders>
          </w:tcPr>
          <w:p>
            <w:pPr>
              <w:spacing w:after="0"/>
              <w:rPr>
                <w:sz w:val="19"/>
                <w:szCs w:val="19"/>
                <w:color w:val="auto"/>
              </w:rPr>
            </w:pPr>
          </w:p>
        </w:tc>
        <w:tc>
          <w:tcPr>
            <w:tcW w:w="120" w:type="dxa"/>
            <w:vAlign w:val="bottom"/>
            <w:tcBorders>
              <w:bottom w:val="single" w:sz="8" w:color="384348"/>
            </w:tcBorders>
          </w:tcPr>
          <w:p>
            <w:pPr>
              <w:spacing w:after="0"/>
              <w:rPr>
                <w:sz w:val="19"/>
                <w:szCs w:val="19"/>
                <w:color w:val="auto"/>
              </w:rPr>
            </w:pPr>
          </w:p>
        </w:tc>
        <w:tc>
          <w:tcPr>
            <w:tcW w:w="1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384348"/>
            </w:tcBorders>
          </w:tcPr>
          <w:p>
            <w:pPr>
              <w:spacing w:after="0"/>
              <w:rPr>
                <w:sz w:val="19"/>
                <w:szCs w:val="19"/>
                <w:color w:val="auto"/>
              </w:rPr>
            </w:pPr>
          </w:p>
        </w:tc>
        <w:tc>
          <w:tcPr>
            <w:tcW w:w="116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384348"/>
            </w:tcBorders>
          </w:tcPr>
          <w:p>
            <w:pPr>
              <w:ind w:left="240"/>
              <w:spacing w:after="0"/>
              <w:rPr>
                <w:sz w:val="20"/>
                <w:szCs w:val="20"/>
                <w:color w:val="auto"/>
              </w:rPr>
            </w:pPr>
            <w:r>
              <w:rPr>
                <w:rFonts w:ascii="Arial" w:cs="Arial" w:eastAsia="Arial" w:hAnsi="Arial"/>
                <w:sz w:val="18"/>
                <w:szCs w:val="18"/>
                <w:b w:val="1"/>
                <w:bCs w:val="1"/>
                <w:color w:val="auto"/>
              </w:rPr>
              <w:t>Income before taxes</w:t>
            </w:r>
          </w:p>
        </w:tc>
        <w:tc>
          <w:tcPr>
            <w:tcW w:w="480" w:type="dxa"/>
            <w:vAlign w:val="bottom"/>
            <w:tcBorders>
              <w:bottom w:val="single" w:sz="8" w:color="384348"/>
            </w:tcBorders>
            <w:gridSpan w:val="2"/>
          </w:tcPr>
          <w:p>
            <w:pPr>
              <w:jc w:val="center"/>
              <w:ind w:right="268"/>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b w:val="1"/>
                <w:bCs w:val="1"/>
                <w:color w:val="auto"/>
              </w:rPr>
              <w:t>901</w:t>
            </w:r>
          </w:p>
        </w:tc>
        <w:tc>
          <w:tcPr>
            <w:tcW w:w="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741</w:t>
            </w:r>
          </w:p>
        </w:tc>
        <w:tc>
          <w:tcPr>
            <w:tcW w:w="20" w:type="dxa"/>
            <w:vAlign w:val="bottom"/>
            <w:tcBorders>
              <w:bottom w:val="single" w:sz="8" w:color="384348"/>
            </w:tcBorders>
          </w:tcPr>
          <w:p>
            <w:pPr>
              <w:spacing w:after="0"/>
              <w:rPr>
                <w:sz w:val="19"/>
                <w:szCs w:val="19"/>
                <w:color w:val="auto"/>
              </w:rPr>
            </w:pPr>
          </w:p>
        </w:tc>
        <w:tc>
          <w:tcPr>
            <w:tcW w:w="220" w:type="dxa"/>
            <w:vAlign w:val="bottom"/>
            <w:tcBorders>
              <w:bottom w:val="single" w:sz="8" w:color="384348"/>
            </w:tcBorders>
            <w:gridSpan w:val="3"/>
          </w:tcPr>
          <w:p>
            <w:pPr>
              <w:jc w:val="right"/>
              <w:ind w:right="4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384348"/>
            </w:tcBorders>
          </w:tcPr>
          <w:p>
            <w:pPr>
              <w:jc w:val="right"/>
              <w:ind w:right="35"/>
              <w:spacing w:after="0"/>
              <w:rPr>
                <w:sz w:val="20"/>
                <w:szCs w:val="20"/>
                <w:color w:val="auto"/>
              </w:rPr>
            </w:pPr>
            <w:r>
              <w:rPr>
                <w:rFonts w:ascii="Arial" w:cs="Arial" w:eastAsia="Arial" w:hAnsi="Arial"/>
                <w:sz w:val="18"/>
                <w:szCs w:val="18"/>
                <w:b w:val="1"/>
                <w:bCs w:val="1"/>
                <w:color w:val="auto"/>
              </w:rPr>
              <w:t>2,079</w:t>
            </w:r>
          </w:p>
        </w:tc>
        <w:tc>
          <w:tcPr>
            <w:tcW w:w="20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2,674</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Amounts included in Cost of products and services sold and Selling, general and administrative expenses.</w:t>
      </w:r>
    </w:p>
    <w:p>
      <w:pPr>
        <w:spacing w:after="0" w:line="1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Amounts included in Selling, general and administrative expenses.</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Amounts included in Selling, general and administrative expenses and Other (income) expense, net.</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Amounts included in Cost of products and services sold and Other (income) expense, net.</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Amounts included in Cost of product and services sold, Selling, general and administrative, Research and development, and Other (income) expense, net.</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Amounts include repositioning charges and other expenses.</w:t>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Honeywell Aerospace 3Q26 Results - 9</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information provides definitions and reconciliations of certain non-GAAP financial measures presented in this press release to which this reconciliation is attached to the most directly comparable financial measures calculated and presented in accordance with generally accepted accounting principles (GAAP).</w:t>
      </w:r>
    </w:p>
    <w:p>
      <w:pPr>
        <w:spacing w:after="0" w:line="117"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Management believes that, when considered together with reported amounts, these measures are useful to investors and management in understanding our ongoing operations and in the analysis of ongoing operating trends. Management believes these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measures provide investors with useful supplemental information related to our performance period to period, align the measures to how management evaluates performance internally, and make it easier for investors to compare our performance to peers. These measures should be considered in addition to, and not as replacements for, the most comparable GAAP measure. Certain measures presented on a non-GAAP basis represent the impact of adjusting items net of tax. The tax-effect for adjusting items is determined individually and on a case-by-case basis. Other companies may calculate these non-GAAP measures differently, limiting the usefulness of these measures for comparative purposes.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the consolidated financial statements. In addition, they are subject to inherent limitations as they reflect the exercise of judgments by management about which expenses and income are excluded or included in determining these non-GAAP financial measures. Investors are urged to review the reconciliation of the non-GAAP financial measures to the comparable GAAP financial measures and not to rely on any single financial measure to evaluate Honeywell Aerospace’s business.</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Information reconciling forward-looking GAAP financial measures to non-GAAP financial measures related to full-year 2026 guidance, including organic sales growth, pro forma standalone adjusted EBIT, pro forma standalone adjusted earnings per share, and second half free cash flow, is not available because management cannot reliably predict or estimate certain items without unreasonable effort. These items include fluctuations in global currency markets; the timing, occurrence and impact of acquisition and divestiture transactions; pension mark-to-market expense as it is dependent on macroeconomic factors, such as interest rates and the return generated on invested pension plan assets; and the timing of working capital cash flows and capital expenditures. The information that is unavailable to provide a quantitative reconciliation could have a significant impact on our reported financial results.</w:t>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Honeywell Aerospace 3Q26 Results - 10</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Honeywell Aerospace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Organic Sales Percent Change for Total Company and by Segment</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980" w:type="dxa"/>
            <w:vAlign w:val="bottom"/>
          </w:tcPr>
          <w:p>
            <w:pPr>
              <w:spacing w:after="0"/>
              <w:rPr>
                <w:sz w:val="21"/>
                <w:szCs w:val="21"/>
                <w:color w:val="auto"/>
              </w:rPr>
            </w:pPr>
          </w:p>
        </w:tc>
        <w:tc>
          <w:tcPr>
            <w:tcW w:w="7240" w:type="dxa"/>
            <w:vAlign w:val="bottom"/>
          </w:tcPr>
          <w:p>
            <w:pPr>
              <w:jc w:val="right"/>
              <w:ind w:right="4991"/>
              <w:spacing w:after="0"/>
              <w:rPr>
                <w:sz w:val="20"/>
                <w:szCs w:val="20"/>
                <w:color w:val="auto"/>
              </w:rPr>
            </w:pPr>
            <w:r>
              <w:rPr>
                <w:rFonts w:ascii="Arial" w:cs="Arial" w:eastAsia="Arial" w:hAnsi="Arial"/>
                <w:sz w:val="18"/>
                <w:szCs w:val="18"/>
                <w:b w:val="1"/>
                <w:bCs w:val="1"/>
                <w:color w:val="auto"/>
              </w:rPr>
              <w:t>(Unaudited)</w:t>
            </w:r>
          </w:p>
        </w:tc>
      </w:tr>
      <w:tr>
        <w:trPr>
          <w:trHeight w:val="361"/>
        </w:trPr>
        <w:tc>
          <w:tcPr>
            <w:tcW w:w="3980" w:type="dxa"/>
            <w:vAlign w:val="bottom"/>
            <w:tcBorders>
              <w:bottom w:val="single" w:sz="8" w:color="FF4400"/>
            </w:tcBorders>
          </w:tcPr>
          <w:p>
            <w:pPr>
              <w:spacing w:after="0"/>
              <w:rPr>
                <w:sz w:val="24"/>
                <w:szCs w:val="24"/>
                <w:color w:val="auto"/>
              </w:rPr>
            </w:pPr>
          </w:p>
        </w:tc>
        <w:tc>
          <w:tcPr>
            <w:tcW w:w="7240" w:type="dxa"/>
            <w:vAlign w:val="bottom"/>
            <w:tcBorders>
              <w:bottom w:val="single" w:sz="8" w:color="FF4400"/>
            </w:tcBorders>
          </w:tcPr>
          <w:p>
            <w:pPr>
              <w:jc w:val="right"/>
              <w:ind w:right="211"/>
              <w:spacing w:after="0"/>
              <w:rPr>
                <w:sz w:val="20"/>
                <w:szCs w:val="20"/>
                <w:color w:val="auto"/>
              </w:rPr>
            </w:pPr>
            <w:r>
              <w:rPr>
                <w:rFonts w:ascii="Arial" w:cs="Arial" w:eastAsia="Arial" w:hAnsi="Arial"/>
                <w:sz w:val="14"/>
                <w:szCs w:val="14"/>
                <w:b w:val="1"/>
                <w:bCs w:val="1"/>
                <w:color w:val="auto"/>
              </w:rPr>
              <w:t>3Q 2026 v. 3Q 2025</w:t>
            </w:r>
          </w:p>
        </w:tc>
      </w:tr>
      <w:tr>
        <w:trPr>
          <w:trHeight w:val="224"/>
        </w:trPr>
        <w:tc>
          <w:tcPr>
            <w:tcW w:w="3980" w:type="dxa"/>
            <w:vAlign w:val="bottom"/>
            <w:tcBorders>
              <w:bottom w:val="single" w:sz="8" w:color="BFBFBF"/>
            </w:tcBorders>
          </w:tcPr>
          <w:p>
            <w:pPr>
              <w:ind w:left="20"/>
              <w:spacing w:after="0"/>
              <w:rPr>
                <w:sz w:val="20"/>
                <w:szCs w:val="20"/>
                <w:color w:val="auto"/>
              </w:rPr>
            </w:pPr>
            <w:r>
              <w:rPr>
                <w:rFonts w:ascii="Arial" w:cs="Arial" w:eastAsia="Arial" w:hAnsi="Arial"/>
                <w:sz w:val="18"/>
                <w:szCs w:val="18"/>
                <w:b w:val="1"/>
                <w:bCs w:val="1"/>
                <w:color w:val="auto"/>
              </w:rPr>
              <w:t>Honeywell Aerospace</w:t>
            </w:r>
          </w:p>
        </w:tc>
        <w:tc>
          <w:tcPr>
            <w:tcW w:w="7240" w:type="dxa"/>
            <w:vAlign w:val="bottom"/>
            <w:tcBorders>
              <w:bottom w:val="single" w:sz="8" w:color="BFBFBF"/>
            </w:tcBorders>
          </w:tcPr>
          <w:p>
            <w:pPr>
              <w:spacing w:after="0"/>
              <w:rPr>
                <w:sz w:val="19"/>
                <w:szCs w:val="19"/>
                <w:color w:val="auto"/>
              </w:rPr>
            </w:pPr>
          </w:p>
        </w:tc>
      </w:tr>
      <w:tr>
        <w:trPr>
          <w:trHeight w:val="223"/>
        </w:trPr>
        <w:tc>
          <w:tcPr>
            <w:tcW w:w="398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Reported sales percent change</w:t>
            </w:r>
          </w:p>
        </w:tc>
        <w:tc>
          <w:tcPr>
            <w:tcW w:w="7240" w:type="dxa"/>
            <w:vAlign w:val="bottom"/>
            <w:tcBorders>
              <w:bottom w:val="single" w:sz="8" w:color="BFBFBF"/>
            </w:tcBorders>
          </w:tcPr>
          <w:p>
            <w:pPr>
              <w:jc w:val="right"/>
              <w:spacing w:after="0"/>
              <w:rPr>
                <w:sz w:val="20"/>
                <w:szCs w:val="20"/>
                <w:color w:val="auto"/>
              </w:rPr>
            </w:pPr>
            <w:r>
              <w:rPr>
                <w:rFonts w:ascii="Arial" w:cs="Arial" w:eastAsia="Arial" w:hAnsi="Arial"/>
                <w:sz w:val="18"/>
                <w:szCs w:val="18"/>
                <w:b w:val="1"/>
                <w:bCs w:val="1"/>
                <w:color w:val="auto"/>
              </w:rPr>
              <w:t>2 %</w:t>
            </w:r>
          </w:p>
        </w:tc>
      </w:tr>
      <w:tr>
        <w:trPr>
          <w:trHeight w:val="223"/>
        </w:trPr>
        <w:tc>
          <w:tcPr>
            <w:tcW w:w="3980" w:type="dxa"/>
            <w:vAlign w:val="bottom"/>
            <w:tcBorders>
              <w:bottom w:val="single" w:sz="8" w:color="BFBFBF"/>
            </w:tcBorders>
          </w:tcPr>
          <w:p>
            <w:pPr>
              <w:ind w:left="120"/>
              <w:spacing w:after="0"/>
              <w:rPr>
                <w:sz w:val="20"/>
                <w:szCs w:val="20"/>
                <w:color w:val="auto"/>
              </w:rPr>
            </w:pPr>
            <w:r>
              <w:rPr>
                <w:rFonts w:ascii="Arial" w:cs="Arial" w:eastAsia="Arial" w:hAnsi="Arial"/>
                <w:sz w:val="18"/>
                <w:szCs w:val="18"/>
                <w:color w:val="auto"/>
              </w:rPr>
              <w:t>Less: Foreign currency translation</w:t>
            </w:r>
          </w:p>
        </w:tc>
        <w:tc>
          <w:tcPr>
            <w:tcW w:w="72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3980" w:type="dxa"/>
            <w:vAlign w:val="bottom"/>
            <w:tcBorders>
              <w:bottom w:val="single" w:sz="8" w:color="BFBFBF"/>
            </w:tcBorders>
          </w:tcPr>
          <w:p>
            <w:pPr>
              <w:ind w:left="120"/>
              <w:spacing w:after="0"/>
              <w:rPr>
                <w:sz w:val="20"/>
                <w:szCs w:val="20"/>
                <w:color w:val="auto"/>
              </w:rPr>
            </w:pPr>
            <w:r>
              <w:rPr>
                <w:rFonts w:ascii="Arial" w:cs="Arial" w:eastAsia="Arial" w:hAnsi="Arial"/>
                <w:sz w:val="18"/>
                <w:szCs w:val="18"/>
                <w:color w:val="auto"/>
              </w:rPr>
              <w:t>Less: Acquisitions</w:t>
            </w:r>
          </w:p>
        </w:tc>
        <w:tc>
          <w:tcPr>
            <w:tcW w:w="72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3980" w:type="dxa"/>
            <w:vAlign w:val="bottom"/>
            <w:tcBorders>
              <w:bottom w:val="single" w:sz="8" w:color="384348"/>
            </w:tcBorders>
          </w:tcPr>
          <w:p>
            <w:pPr>
              <w:ind w:left="120"/>
              <w:spacing w:after="0"/>
              <w:rPr>
                <w:sz w:val="20"/>
                <w:szCs w:val="20"/>
                <w:color w:val="auto"/>
              </w:rPr>
            </w:pPr>
            <w:r>
              <w:rPr>
                <w:rFonts w:ascii="Arial" w:cs="Arial" w:eastAsia="Arial" w:hAnsi="Arial"/>
                <w:sz w:val="18"/>
                <w:szCs w:val="18"/>
                <w:color w:val="auto"/>
              </w:rPr>
              <w:t>Less: Other</w:t>
            </w:r>
          </w:p>
        </w:tc>
        <w:tc>
          <w:tcPr>
            <w:tcW w:w="724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3980" w:type="dxa"/>
            <w:vAlign w:val="bottom"/>
            <w:tcBorders>
              <w:bottom w:val="single" w:sz="8" w:color="384348"/>
            </w:tcBorders>
          </w:tcPr>
          <w:p>
            <w:pPr>
              <w:ind w:left="120"/>
              <w:spacing w:after="0"/>
              <w:rPr>
                <w:sz w:val="20"/>
                <w:szCs w:val="20"/>
                <w:color w:val="auto"/>
              </w:rPr>
            </w:pPr>
            <w:r>
              <w:rPr>
                <w:rFonts w:ascii="Arial" w:cs="Arial" w:eastAsia="Arial" w:hAnsi="Arial"/>
                <w:sz w:val="18"/>
                <w:szCs w:val="18"/>
                <w:b w:val="1"/>
                <w:bCs w:val="1"/>
                <w:color w:val="auto"/>
              </w:rPr>
              <w:t>Organic sales percent change</w:t>
            </w:r>
          </w:p>
        </w:tc>
        <w:tc>
          <w:tcPr>
            <w:tcW w:w="72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2 %</w:t>
            </w:r>
          </w:p>
        </w:tc>
      </w:tr>
      <w:tr>
        <w:trPr>
          <w:trHeight w:val="466"/>
        </w:trPr>
        <w:tc>
          <w:tcPr>
            <w:tcW w:w="3980" w:type="dxa"/>
            <w:vAlign w:val="bottom"/>
            <w:tcBorders>
              <w:bottom w:val="single" w:sz="8" w:color="BFBFBF"/>
            </w:tcBorders>
          </w:tcPr>
          <w:p>
            <w:pPr>
              <w:ind w:left="20"/>
              <w:spacing w:after="0"/>
              <w:rPr>
                <w:sz w:val="20"/>
                <w:szCs w:val="20"/>
                <w:color w:val="auto"/>
              </w:rPr>
            </w:pPr>
            <w:r>
              <w:rPr>
                <w:rFonts w:ascii="Arial" w:cs="Arial" w:eastAsia="Arial" w:hAnsi="Arial"/>
                <w:sz w:val="18"/>
                <w:szCs w:val="18"/>
                <w:b w:val="1"/>
                <w:bCs w:val="1"/>
                <w:color w:val="auto"/>
              </w:rPr>
              <w:t>Electronic Solutions</w:t>
            </w:r>
          </w:p>
        </w:tc>
        <w:tc>
          <w:tcPr>
            <w:tcW w:w="7240" w:type="dxa"/>
            <w:vAlign w:val="bottom"/>
            <w:tcBorders>
              <w:bottom w:val="single" w:sz="8" w:color="BFBFBF"/>
            </w:tcBorders>
          </w:tcPr>
          <w:p>
            <w:pPr>
              <w:spacing w:after="0"/>
              <w:rPr>
                <w:sz w:val="24"/>
                <w:szCs w:val="24"/>
                <w:color w:val="auto"/>
              </w:rPr>
            </w:pPr>
          </w:p>
        </w:tc>
      </w:tr>
      <w:tr>
        <w:trPr>
          <w:trHeight w:val="223"/>
        </w:trPr>
        <w:tc>
          <w:tcPr>
            <w:tcW w:w="398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Reported sales percent change</w:t>
            </w:r>
          </w:p>
        </w:tc>
        <w:tc>
          <w:tcPr>
            <w:tcW w:w="7240" w:type="dxa"/>
            <w:vAlign w:val="bottom"/>
            <w:tcBorders>
              <w:bottom w:val="single" w:sz="8" w:color="BFBFBF"/>
            </w:tcBorders>
          </w:tcPr>
          <w:p>
            <w:pPr>
              <w:jc w:val="right"/>
              <w:spacing w:after="0"/>
              <w:rPr>
                <w:sz w:val="20"/>
                <w:szCs w:val="20"/>
                <w:color w:val="auto"/>
              </w:rPr>
            </w:pPr>
            <w:r>
              <w:rPr>
                <w:rFonts w:ascii="Arial" w:cs="Arial" w:eastAsia="Arial" w:hAnsi="Arial"/>
                <w:sz w:val="18"/>
                <w:szCs w:val="18"/>
                <w:b w:val="1"/>
                <w:bCs w:val="1"/>
                <w:color w:val="auto"/>
              </w:rPr>
              <w:t>4 %</w:t>
            </w:r>
          </w:p>
        </w:tc>
      </w:tr>
      <w:tr>
        <w:trPr>
          <w:trHeight w:val="223"/>
        </w:trPr>
        <w:tc>
          <w:tcPr>
            <w:tcW w:w="3980" w:type="dxa"/>
            <w:vAlign w:val="bottom"/>
            <w:tcBorders>
              <w:bottom w:val="single" w:sz="8" w:color="BFBFBF"/>
            </w:tcBorders>
          </w:tcPr>
          <w:p>
            <w:pPr>
              <w:ind w:left="120"/>
              <w:spacing w:after="0"/>
              <w:rPr>
                <w:sz w:val="20"/>
                <w:szCs w:val="20"/>
                <w:color w:val="auto"/>
              </w:rPr>
            </w:pPr>
            <w:r>
              <w:rPr>
                <w:rFonts w:ascii="Arial" w:cs="Arial" w:eastAsia="Arial" w:hAnsi="Arial"/>
                <w:sz w:val="18"/>
                <w:szCs w:val="18"/>
                <w:color w:val="auto"/>
              </w:rPr>
              <w:t>Less: Foreign currency translation</w:t>
            </w:r>
          </w:p>
        </w:tc>
        <w:tc>
          <w:tcPr>
            <w:tcW w:w="72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3980" w:type="dxa"/>
            <w:vAlign w:val="bottom"/>
            <w:tcBorders>
              <w:bottom w:val="single" w:sz="8" w:color="BFBFBF"/>
            </w:tcBorders>
          </w:tcPr>
          <w:p>
            <w:pPr>
              <w:ind w:left="120"/>
              <w:spacing w:after="0"/>
              <w:rPr>
                <w:sz w:val="20"/>
                <w:szCs w:val="20"/>
                <w:color w:val="auto"/>
              </w:rPr>
            </w:pPr>
            <w:r>
              <w:rPr>
                <w:rFonts w:ascii="Arial" w:cs="Arial" w:eastAsia="Arial" w:hAnsi="Arial"/>
                <w:sz w:val="18"/>
                <w:szCs w:val="18"/>
                <w:color w:val="auto"/>
              </w:rPr>
              <w:t>Less: Acquisitions</w:t>
            </w:r>
          </w:p>
        </w:tc>
        <w:tc>
          <w:tcPr>
            <w:tcW w:w="72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3980" w:type="dxa"/>
            <w:vAlign w:val="bottom"/>
            <w:tcBorders>
              <w:bottom w:val="single" w:sz="8" w:color="384348"/>
            </w:tcBorders>
          </w:tcPr>
          <w:p>
            <w:pPr>
              <w:ind w:left="120"/>
              <w:spacing w:after="0"/>
              <w:rPr>
                <w:sz w:val="20"/>
                <w:szCs w:val="20"/>
                <w:color w:val="auto"/>
              </w:rPr>
            </w:pPr>
            <w:r>
              <w:rPr>
                <w:rFonts w:ascii="Arial" w:cs="Arial" w:eastAsia="Arial" w:hAnsi="Arial"/>
                <w:sz w:val="18"/>
                <w:szCs w:val="18"/>
                <w:color w:val="auto"/>
              </w:rPr>
              <w:t>Less: Other</w:t>
            </w:r>
          </w:p>
        </w:tc>
        <w:tc>
          <w:tcPr>
            <w:tcW w:w="724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3980" w:type="dxa"/>
            <w:vAlign w:val="bottom"/>
            <w:tcBorders>
              <w:bottom w:val="single" w:sz="8" w:color="384348"/>
            </w:tcBorders>
          </w:tcPr>
          <w:p>
            <w:pPr>
              <w:ind w:left="120"/>
              <w:spacing w:after="0"/>
              <w:rPr>
                <w:sz w:val="20"/>
                <w:szCs w:val="20"/>
                <w:color w:val="auto"/>
              </w:rPr>
            </w:pPr>
            <w:r>
              <w:rPr>
                <w:rFonts w:ascii="Arial" w:cs="Arial" w:eastAsia="Arial" w:hAnsi="Arial"/>
                <w:sz w:val="18"/>
                <w:szCs w:val="18"/>
                <w:b w:val="1"/>
                <w:bCs w:val="1"/>
                <w:color w:val="auto"/>
              </w:rPr>
              <w:t>Organic sales percent change</w:t>
            </w:r>
          </w:p>
        </w:tc>
        <w:tc>
          <w:tcPr>
            <w:tcW w:w="72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5 %</w:t>
            </w:r>
          </w:p>
        </w:tc>
      </w:tr>
      <w:tr>
        <w:trPr>
          <w:trHeight w:val="466"/>
        </w:trPr>
        <w:tc>
          <w:tcPr>
            <w:tcW w:w="3980" w:type="dxa"/>
            <w:vAlign w:val="bottom"/>
            <w:tcBorders>
              <w:bottom w:val="single" w:sz="8" w:color="BFBFBF"/>
            </w:tcBorders>
          </w:tcPr>
          <w:p>
            <w:pPr>
              <w:ind w:left="20"/>
              <w:spacing w:after="0"/>
              <w:rPr>
                <w:sz w:val="20"/>
                <w:szCs w:val="20"/>
                <w:color w:val="auto"/>
              </w:rPr>
            </w:pPr>
            <w:r>
              <w:rPr>
                <w:rFonts w:ascii="Arial" w:cs="Arial" w:eastAsia="Arial" w:hAnsi="Arial"/>
                <w:sz w:val="18"/>
                <w:szCs w:val="18"/>
                <w:b w:val="1"/>
                <w:bCs w:val="1"/>
                <w:color w:val="auto"/>
              </w:rPr>
              <w:t>Engines &amp; Power Systems</w:t>
            </w:r>
          </w:p>
        </w:tc>
        <w:tc>
          <w:tcPr>
            <w:tcW w:w="7240" w:type="dxa"/>
            <w:vAlign w:val="bottom"/>
            <w:tcBorders>
              <w:bottom w:val="single" w:sz="8" w:color="BFBFBF"/>
            </w:tcBorders>
          </w:tcPr>
          <w:p>
            <w:pPr>
              <w:spacing w:after="0"/>
              <w:rPr>
                <w:sz w:val="24"/>
                <w:szCs w:val="24"/>
                <w:color w:val="auto"/>
              </w:rPr>
            </w:pPr>
          </w:p>
        </w:tc>
      </w:tr>
      <w:tr>
        <w:trPr>
          <w:trHeight w:val="223"/>
        </w:trPr>
        <w:tc>
          <w:tcPr>
            <w:tcW w:w="398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Reported sales percent change</w:t>
            </w:r>
          </w:p>
        </w:tc>
        <w:tc>
          <w:tcPr>
            <w:tcW w:w="7240" w:type="dxa"/>
            <w:vAlign w:val="bottom"/>
            <w:tcBorders>
              <w:bottom w:val="single" w:sz="8" w:color="BFBFBF"/>
            </w:tcBorders>
          </w:tcPr>
          <w:p>
            <w:pPr>
              <w:jc w:val="right"/>
              <w:spacing w:after="0"/>
              <w:rPr>
                <w:sz w:val="20"/>
                <w:szCs w:val="20"/>
                <w:color w:val="auto"/>
              </w:rPr>
            </w:pPr>
            <w:r>
              <w:rPr>
                <w:rFonts w:ascii="Arial" w:cs="Arial" w:eastAsia="Arial" w:hAnsi="Arial"/>
                <w:sz w:val="18"/>
                <w:szCs w:val="18"/>
                <w:b w:val="1"/>
                <w:bCs w:val="1"/>
                <w:color w:val="auto"/>
              </w:rPr>
              <w:t>3 %</w:t>
            </w:r>
          </w:p>
        </w:tc>
      </w:tr>
      <w:tr>
        <w:trPr>
          <w:trHeight w:val="223"/>
        </w:trPr>
        <w:tc>
          <w:tcPr>
            <w:tcW w:w="3980" w:type="dxa"/>
            <w:vAlign w:val="bottom"/>
            <w:tcBorders>
              <w:bottom w:val="single" w:sz="8" w:color="BFBFBF"/>
            </w:tcBorders>
          </w:tcPr>
          <w:p>
            <w:pPr>
              <w:ind w:left="120"/>
              <w:spacing w:after="0"/>
              <w:rPr>
                <w:sz w:val="20"/>
                <w:szCs w:val="20"/>
                <w:color w:val="auto"/>
              </w:rPr>
            </w:pPr>
            <w:r>
              <w:rPr>
                <w:rFonts w:ascii="Arial" w:cs="Arial" w:eastAsia="Arial" w:hAnsi="Arial"/>
                <w:sz w:val="18"/>
                <w:szCs w:val="18"/>
                <w:color w:val="auto"/>
              </w:rPr>
              <w:t>Less: Foreign currency translation</w:t>
            </w:r>
          </w:p>
        </w:tc>
        <w:tc>
          <w:tcPr>
            <w:tcW w:w="72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1 %</w:t>
            </w:r>
          </w:p>
        </w:tc>
      </w:tr>
      <w:tr>
        <w:trPr>
          <w:trHeight w:val="223"/>
        </w:trPr>
        <w:tc>
          <w:tcPr>
            <w:tcW w:w="3980" w:type="dxa"/>
            <w:vAlign w:val="bottom"/>
            <w:tcBorders>
              <w:bottom w:val="single" w:sz="8" w:color="BFBFBF"/>
            </w:tcBorders>
          </w:tcPr>
          <w:p>
            <w:pPr>
              <w:ind w:left="120"/>
              <w:spacing w:after="0"/>
              <w:rPr>
                <w:sz w:val="20"/>
                <w:szCs w:val="20"/>
                <w:color w:val="auto"/>
              </w:rPr>
            </w:pPr>
            <w:r>
              <w:rPr>
                <w:rFonts w:ascii="Arial" w:cs="Arial" w:eastAsia="Arial" w:hAnsi="Arial"/>
                <w:sz w:val="18"/>
                <w:szCs w:val="18"/>
                <w:color w:val="auto"/>
              </w:rPr>
              <w:t>Less: Acquisitions</w:t>
            </w:r>
          </w:p>
        </w:tc>
        <w:tc>
          <w:tcPr>
            <w:tcW w:w="72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3980" w:type="dxa"/>
            <w:vAlign w:val="bottom"/>
            <w:tcBorders>
              <w:bottom w:val="single" w:sz="8" w:color="384348"/>
            </w:tcBorders>
          </w:tcPr>
          <w:p>
            <w:pPr>
              <w:ind w:left="120"/>
              <w:spacing w:after="0"/>
              <w:rPr>
                <w:sz w:val="20"/>
                <w:szCs w:val="20"/>
                <w:color w:val="auto"/>
              </w:rPr>
            </w:pPr>
            <w:r>
              <w:rPr>
                <w:rFonts w:ascii="Arial" w:cs="Arial" w:eastAsia="Arial" w:hAnsi="Arial"/>
                <w:sz w:val="18"/>
                <w:szCs w:val="18"/>
                <w:color w:val="auto"/>
              </w:rPr>
              <w:t>Less: Other</w:t>
            </w:r>
          </w:p>
        </w:tc>
        <w:tc>
          <w:tcPr>
            <w:tcW w:w="724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3980" w:type="dxa"/>
            <w:vAlign w:val="bottom"/>
            <w:tcBorders>
              <w:bottom w:val="single" w:sz="8" w:color="384348"/>
            </w:tcBorders>
          </w:tcPr>
          <w:p>
            <w:pPr>
              <w:ind w:left="120"/>
              <w:spacing w:after="0"/>
              <w:rPr>
                <w:sz w:val="20"/>
                <w:szCs w:val="20"/>
                <w:color w:val="auto"/>
              </w:rPr>
            </w:pPr>
            <w:r>
              <w:rPr>
                <w:rFonts w:ascii="Arial" w:cs="Arial" w:eastAsia="Arial" w:hAnsi="Arial"/>
                <w:sz w:val="18"/>
                <w:szCs w:val="18"/>
                <w:b w:val="1"/>
                <w:bCs w:val="1"/>
                <w:color w:val="auto"/>
              </w:rPr>
              <w:t>Organic sales percent change</w:t>
            </w:r>
          </w:p>
        </w:tc>
        <w:tc>
          <w:tcPr>
            <w:tcW w:w="72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2 %</w:t>
            </w:r>
          </w:p>
        </w:tc>
      </w:tr>
      <w:tr>
        <w:trPr>
          <w:trHeight w:val="466"/>
        </w:trPr>
        <w:tc>
          <w:tcPr>
            <w:tcW w:w="3980" w:type="dxa"/>
            <w:vAlign w:val="bottom"/>
            <w:tcBorders>
              <w:bottom w:val="single" w:sz="8" w:color="BFBFBF"/>
            </w:tcBorders>
          </w:tcPr>
          <w:p>
            <w:pPr>
              <w:ind w:left="20"/>
              <w:spacing w:after="0"/>
              <w:rPr>
                <w:sz w:val="20"/>
                <w:szCs w:val="20"/>
                <w:color w:val="auto"/>
              </w:rPr>
            </w:pPr>
            <w:r>
              <w:rPr>
                <w:rFonts w:ascii="Arial" w:cs="Arial" w:eastAsia="Arial" w:hAnsi="Arial"/>
                <w:sz w:val="18"/>
                <w:szCs w:val="18"/>
                <w:b w:val="1"/>
                <w:bCs w:val="1"/>
                <w:color w:val="auto"/>
              </w:rPr>
              <w:t>Control Systems</w:t>
            </w:r>
          </w:p>
        </w:tc>
        <w:tc>
          <w:tcPr>
            <w:tcW w:w="7240" w:type="dxa"/>
            <w:vAlign w:val="bottom"/>
            <w:tcBorders>
              <w:bottom w:val="single" w:sz="8" w:color="BFBFBF"/>
            </w:tcBorders>
          </w:tcPr>
          <w:p>
            <w:pPr>
              <w:spacing w:after="0"/>
              <w:rPr>
                <w:sz w:val="24"/>
                <w:szCs w:val="24"/>
                <w:color w:val="auto"/>
              </w:rPr>
            </w:pPr>
          </w:p>
        </w:tc>
      </w:tr>
      <w:tr>
        <w:trPr>
          <w:trHeight w:val="223"/>
        </w:trPr>
        <w:tc>
          <w:tcPr>
            <w:tcW w:w="398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Reported sales percent change</w:t>
            </w:r>
          </w:p>
        </w:tc>
        <w:tc>
          <w:tcPr>
            <w:tcW w:w="7240" w:type="dxa"/>
            <w:vAlign w:val="bottom"/>
            <w:tcBorders>
              <w:bottom w:val="single" w:sz="8" w:color="BFBFBF"/>
            </w:tcBorders>
          </w:tcPr>
          <w:p>
            <w:pPr>
              <w:jc w:val="right"/>
              <w:spacing w:after="0"/>
              <w:rPr>
                <w:sz w:val="20"/>
                <w:szCs w:val="20"/>
                <w:color w:val="auto"/>
              </w:rPr>
            </w:pPr>
            <w:r>
              <w:rPr>
                <w:rFonts w:ascii="Arial" w:cs="Arial" w:eastAsia="Arial" w:hAnsi="Arial"/>
                <w:sz w:val="18"/>
                <w:szCs w:val="18"/>
                <w:b w:val="1"/>
                <w:bCs w:val="1"/>
                <w:color w:val="auto"/>
              </w:rPr>
              <w:t>— %</w:t>
            </w:r>
          </w:p>
        </w:tc>
      </w:tr>
      <w:tr>
        <w:trPr>
          <w:trHeight w:val="223"/>
        </w:trPr>
        <w:tc>
          <w:tcPr>
            <w:tcW w:w="3980" w:type="dxa"/>
            <w:vAlign w:val="bottom"/>
            <w:tcBorders>
              <w:bottom w:val="single" w:sz="8" w:color="BFBFBF"/>
            </w:tcBorders>
          </w:tcPr>
          <w:p>
            <w:pPr>
              <w:ind w:left="120"/>
              <w:spacing w:after="0"/>
              <w:rPr>
                <w:sz w:val="20"/>
                <w:szCs w:val="20"/>
                <w:color w:val="auto"/>
              </w:rPr>
            </w:pPr>
            <w:r>
              <w:rPr>
                <w:rFonts w:ascii="Arial" w:cs="Arial" w:eastAsia="Arial" w:hAnsi="Arial"/>
                <w:sz w:val="18"/>
                <w:szCs w:val="18"/>
                <w:color w:val="auto"/>
              </w:rPr>
              <w:t>Less: Foreign currency translation</w:t>
            </w:r>
          </w:p>
        </w:tc>
        <w:tc>
          <w:tcPr>
            <w:tcW w:w="72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3980" w:type="dxa"/>
            <w:vAlign w:val="bottom"/>
            <w:tcBorders>
              <w:bottom w:val="single" w:sz="8" w:color="BFBFBF"/>
            </w:tcBorders>
          </w:tcPr>
          <w:p>
            <w:pPr>
              <w:ind w:left="120"/>
              <w:spacing w:after="0"/>
              <w:rPr>
                <w:sz w:val="20"/>
                <w:szCs w:val="20"/>
                <w:color w:val="auto"/>
              </w:rPr>
            </w:pPr>
            <w:r>
              <w:rPr>
                <w:rFonts w:ascii="Arial" w:cs="Arial" w:eastAsia="Arial" w:hAnsi="Arial"/>
                <w:sz w:val="18"/>
                <w:szCs w:val="18"/>
                <w:color w:val="auto"/>
              </w:rPr>
              <w:t>Less: Acquisitions</w:t>
            </w:r>
          </w:p>
        </w:tc>
        <w:tc>
          <w:tcPr>
            <w:tcW w:w="72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3980" w:type="dxa"/>
            <w:vAlign w:val="bottom"/>
            <w:tcBorders>
              <w:bottom w:val="single" w:sz="8" w:color="384348"/>
            </w:tcBorders>
          </w:tcPr>
          <w:p>
            <w:pPr>
              <w:ind w:left="120"/>
              <w:spacing w:after="0"/>
              <w:rPr>
                <w:sz w:val="20"/>
                <w:szCs w:val="20"/>
                <w:color w:val="auto"/>
              </w:rPr>
            </w:pPr>
            <w:r>
              <w:rPr>
                <w:rFonts w:ascii="Arial" w:cs="Arial" w:eastAsia="Arial" w:hAnsi="Arial"/>
                <w:sz w:val="18"/>
                <w:szCs w:val="18"/>
                <w:color w:val="auto"/>
              </w:rPr>
              <w:t>Less: Other</w:t>
            </w:r>
          </w:p>
        </w:tc>
        <w:tc>
          <w:tcPr>
            <w:tcW w:w="724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3980" w:type="dxa"/>
            <w:vAlign w:val="bottom"/>
            <w:tcBorders>
              <w:bottom w:val="single" w:sz="8" w:color="384348"/>
            </w:tcBorders>
          </w:tcPr>
          <w:p>
            <w:pPr>
              <w:ind w:left="120"/>
              <w:spacing w:after="0"/>
              <w:rPr>
                <w:sz w:val="20"/>
                <w:szCs w:val="20"/>
                <w:color w:val="auto"/>
              </w:rPr>
            </w:pPr>
            <w:r>
              <w:rPr>
                <w:rFonts w:ascii="Arial" w:cs="Arial" w:eastAsia="Arial" w:hAnsi="Arial"/>
                <w:sz w:val="18"/>
                <w:szCs w:val="18"/>
                <w:b w:val="1"/>
                <w:bCs w:val="1"/>
                <w:color w:val="auto"/>
              </w:rPr>
              <w:t>Organic sales percent change</w:t>
            </w:r>
          </w:p>
        </w:tc>
        <w:tc>
          <w:tcPr>
            <w:tcW w:w="72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 %</w:t>
            </w:r>
          </w:p>
        </w:tc>
      </w:tr>
    </w:tbl>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organic sales percent change as the year-over-year change in reported Net sales relative to the comparable period, excluding the impact on sales from foreign currency translation and acquisitions, net of divestitures, for the first 12 months following the transaction date, and other items that are unusual and non-recurring in nature (e.g., impact of comprehensive settlement related to Flexjet litigation). We believe this measure is useful to investors and management in understanding our ongoing operations and in analysis of ongoing operating trends.</w:t>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Honeywell Aerospace 3Q26 Results - 11</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8360" w:type="dxa"/>
            <w:vAlign w:val="bottom"/>
          </w:tcPr>
          <w:p>
            <w:pPr>
              <w:jc w:val="right"/>
              <w:ind w:right="4411"/>
              <w:spacing w:after="0"/>
              <w:rPr>
                <w:sz w:val="20"/>
                <w:szCs w:val="20"/>
                <w:color w:val="auto"/>
              </w:rPr>
            </w:pPr>
            <w:r>
              <w:rPr>
                <w:rFonts w:ascii="Arial" w:cs="Arial" w:eastAsia="Arial" w:hAnsi="Arial"/>
                <w:sz w:val="18"/>
                <w:szCs w:val="18"/>
                <w:b w:val="1"/>
                <w:bCs w:val="1"/>
                <w:color w:val="auto"/>
              </w:rPr>
              <w:t>Honeywell Aerospace Inc.</w:t>
            </w:r>
          </w:p>
        </w:tc>
      </w:tr>
      <w:tr>
        <w:trPr>
          <w:trHeight w:val="216"/>
        </w:trPr>
        <w:tc>
          <w:tcPr>
            <w:tcW w:w="2860" w:type="dxa"/>
            <w:vAlign w:val="bottom"/>
          </w:tcPr>
          <w:p>
            <w:pPr>
              <w:spacing w:after="0"/>
              <w:rPr>
                <w:sz w:val="18"/>
                <w:szCs w:val="18"/>
                <w:color w:val="auto"/>
              </w:rPr>
            </w:pPr>
          </w:p>
        </w:tc>
        <w:tc>
          <w:tcPr>
            <w:tcW w:w="8360" w:type="dxa"/>
            <w:vAlign w:val="bottom"/>
          </w:tcPr>
          <w:p>
            <w:pPr>
              <w:jc w:val="right"/>
              <w:ind w:right="2831"/>
              <w:spacing w:after="0"/>
              <w:rPr>
                <w:sz w:val="20"/>
                <w:szCs w:val="20"/>
                <w:color w:val="auto"/>
              </w:rPr>
            </w:pPr>
            <w:r>
              <w:rPr>
                <w:rFonts w:ascii="Arial" w:cs="Arial" w:eastAsia="Arial" w:hAnsi="Arial"/>
                <w:sz w:val="18"/>
                <w:szCs w:val="18"/>
                <w:b w:val="1"/>
                <w:bCs w:val="1"/>
                <w:color w:val="auto"/>
              </w:rPr>
              <w:t>Reconciliation of Organic Sales Percent Change by End Market</w:t>
            </w:r>
          </w:p>
        </w:tc>
      </w:tr>
      <w:tr>
        <w:trPr>
          <w:trHeight w:val="247"/>
        </w:trPr>
        <w:tc>
          <w:tcPr>
            <w:tcW w:w="2860" w:type="dxa"/>
            <w:vAlign w:val="bottom"/>
          </w:tcPr>
          <w:p>
            <w:pPr>
              <w:spacing w:after="0"/>
              <w:rPr>
                <w:sz w:val="21"/>
                <w:szCs w:val="21"/>
                <w:color w:val="auto"/>
              </w:rPr>
            </w:pPr>
          </w:p>
        </w:tc>
        <w:tc>
          <w:tcPr>
            <w:tcW w:w="8360" w:type="dxa"/>
            <w:vAlign w:val="bottom"/>
          </w:tcPr>
          <w:p>
            <w:pPr>
              <w:jc w:val="right"/>
              <w:ind w:right="4991"/>
              <w:spacing w:after="0"/>
              <w:rPr>
                <w:sz w:val="20"/>
                <w:szCs w:val="20"/>
                <w:color w:val="auto"/>
              </w:rPr>
            </w:pPr>
            <w:r>
              <w:rPr>
                <w:rFonts w:ascii="Arial" w:cs="Arial" w:eastAsia="Arial" w:hAnsi="Arial"/>
                <w:sz w:val="18"/>
                <w:szCs w:val="18"/>
                <w:b w:val="1"/>
                <w:bCs w:val="1"/>
                <w:color w:val="auto"/>
              </w:rPr>
              <w:t>(Unaudited)</w:t>
            </w:r>
          </w:p>
        </w:tc>
      </w:tr>
      <w:tr>
        <w:trPr>
          <w:trHeight w:val="378"/>
        </w:trPr>
        <w:tc>
          <w:tcPr>
            <w:tcW w:w="2860" w:type="dxa"/>
            <w:vAlign w:val="bottom"/>
            <w:tcBorders>
              <w:bottom w:val="single" w:sz="8" w:color="FF4400"/>
            </w:tcBorders>
          </w:tcPr>
          <w:p>
            <w:pPr>
              <w:spacing w:after="0"/>
              <w:rPr>
                <w:sz w:val="24"/>
                <w:szCs w:val="24"/>
                <w:color w:val="auto"/>
              </w:rPr>
            </w:pPr>
          </w:p>
        </w:tc>
        <w:tc>
          <w:tcPr>
            <w:tcW w:w="8360" w:type="dxa"/>
            <w:vAlign w:val="bottom"/>
            <w:tcBorders>
              <w:bottom w:val="single" w:sz="8" w:color="FF4400"/>
            </w:tcBorders>
          </w:tcPr>
          <w:p>
            <w:pPr>
              <w:jc w:val="right"/>
              <w:ind w:right="211"/>
              <w:spacing w:after="0"/>
              <w:rPr>
                <w:sz w:val="20"/>
                <w:szCs w:val="20"/>
                <w:color w:val="auto"/>
              </w:rPr>
            </w:pPr>
            <w:r>
              <w:rPr>
                <w:rFonts w:ascii="Arial" w:cs="Arial" w:eastAsia="Arial" w:hAnsi="Arial"/>
                <w:sz w:val="14"/>
                <w:szCs w:val="14"/>
                <w:b w:val="1"/>
                <w:bCs w:val="1"/>
                <w:color w:val="auto"/>
              </w:rPr>
              <w:t>3Q 2026 v. 3Q 2025</w:t>
            </w:r>
          </w:p>
        </w:tc>
      </w:tr>
      <w:tr>
        <w:trPr>
          <w:trHeight w:val="224"/>
        </w:trPr>
        <w:tc>
          <w:tcPr>
            <w:tcW w:w="2860" w:type="dxa"/>
            <w:vAlign w:val="bottom"/>
            <w:tcBorders>
              <w:bottom w:val="single" w:sz="8" w:color="BFBFBF"/>
            </w:tcBorders>
          </w:tcPr>
          <w:p>
            <w:pPr>
              <w:ind w:left="20"/>
              <w:spacing w:after="0"/>
              <w:rPr>
                <w:sz w:val="20"/>
                <w:szCs w:val="20"/>
                <w:color w:val="auto"/>
              </w:rPr>
            </w:pPr>
            <w:r>
              <w:rPr>
                <w:rFonts w:ascii="Arial" w:cs="Arial" w:eastAsia="Arial" w:hAnsi="Arial"/>
                <w:sz w:val="18"/>
                <w:szCs w:val="18"/>
                <w:b w:val="1"/>
                <w:bCs w:val="1"/>
                <w:color w:val="auto"/>
              </w:rPr>
              <w:t>Commercial Original Equipment</w:t>
            </w:r>
          </w:p>
        </w:tc>
        <w:tc>
          <w:tcPr>
            <w:tcW w:w="8360" w:type="dxa"/>
            <w:vAlign w:val="bottom"/>
            <w:tcBorders>
              <w:bottom w:val="single" w:sz="8" w:color="BFBFBF"/>
            </w:tcBorders>
          </w:tcPr>
          <w:p>
            <w:pPr>
              <w:spacing w:after="0"/>
              <w:rPr>
                <w:sz w:val="19"/>
                <w:szCs w:val="19"/>
                <w:color w:val="auto"/>
              </w:rPr>
            </w:pPr>
          </w:p>
        </w:tc>
      </w:tr>
      <w:tr>
        <w:trPr>
          <w:trHeight w:val="223"/>
        </w:trPr>
        <w:tc>
          <w:tcPr>
            <w:tcW w:w="286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Reported sales percent change</w:t>
            </w:r>
          </w:p>
        </w:tc>
        <w:tc>
          <w:tcPr>
            <w:tcW w:w="8360" w:type="dxa"/>
            <w:vAlign w:val="bottom"/>
            <w:tcBorders>
              <w:bottom w:val="single" w:sz="8" w:color="BFBFBF"/>
            </w:tcBorders>
          </w:tcPr>
          <w:p>
            <w:pPr>
              <w:jc w:val="right"/>
              <w:spacing w:after="0"/>
              <w:rPr>
                <w:sz w:val="20"/>
                <w:szCs w:val="20"/>
                <w:color w:val="auto"/>
              </w:rPr>
            </w:pPr>
            <w:r>
              <w:rPr>
                <w:rFonts w:ascii="Arial" w:cs="Arial" w:eastAsia="Arial" w:hAnsi="Arial"/>
                <w:sz w:val="18"/>
                <w:szCs w:val="18"/>
                <w:b w:val="1"/>
                <w:bCs w:val="1"/>
                <w:color w:val="auto"/>
              </w:rPr>
              <w:t>7 %</w:t>
            </w:r>
          </w:p>
        </w:tc>
      </w:tr>
      <w:tr>
        <w:trPr>
          <w:trHeight w:val="223"/>
        </w:trPr>
        <w:tc>
          <w:tcPr>
            <w:tcW w:w="2860" w:type="dxa"/>
            <w:vAlign w:val="bottom"/>
            <w:tcBorders>
              <w:bottom w:val="single" w:sz="8" w:color="BFBFBF"/>
            </w:tcBorders>
          </w:tcPr>
          <w:p>
            <w:pPr>
              <w:ind w:left="120"/>
              <w:spacing w:after="0"/>
              <w:rPr>
                <w:sz w:val="20"/>
                <w:szCs w:val="20"/>
                <w:color w:val="auto"/>
              </w:rPr>
            </w:pPr>
            <w:r>
              <w:rPr>
                <w:rFonts w:ascii="Arial" w:cs="Arial" w:eastAsia="Arial" w:hAnsi="Arial"/>
                <w:sz w:val="18"/>
                <w:szCs w:val="18"/>
                <w:color w:val="auto"/>
              </w:rPr>
              <w:t>Less: Foreign currency translation</w:t>
            </w:r>
          </w:p>
        </w:tc>
        <w:tc>
          <w:tcPr>
            <w:tcW w:w="83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860" w:type="dxa"/>
            <w:vAlign w:val="bottom"/>
            <w:tcBorders>
              <w:bottom w:val="single" w:sz="8" w:color="BFBFBF"/>
            </w:tcBorders>
          </w:tcPr>
          <w:p>
            <w:pPr>
              <w:ind w:left="120"/>
              <w:spacing w:after="0"/>
              <w:rPr>
                <w:sz w:val="20"/>
                <w:szCs w:val="20"/>
                <w:color w:val="auto"/>
              </w:rPr>
            </w:pPr>
            <w:r>
              <w:rPr>
                <w:rFonts w:ascii="Arial" w:cs="Arial" w:eastAsia="Arial" w:hAnsi="Arial"/>
                <w:sz w:val="18"/>
                <w:szCs w:val="18"/>
                <w:color w:val="auto"/>
              </w:rPr>
              <w:t>Less: Acquisitions</w:t>
            </w:r>
          </w:p>
        </w:tc>
        <w:tc>
          <w:tcPr>
            <w:tcW w:w="83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2860" w:type="dxa"/>
            <w:vAlign w:val="bottom"/>
            <w:tcBorders>
              <w:bottom w:val="single" w:sz="8" w:color="384348"/>
            </w:tcBorders>
          </w:tcPr>
          <w:p>
            <w:pPr>
              <w:ind w:left="120"/>
              <w:spacing w:after="0"/>
              <w:rPr>
                <w:sz w:val="20"/>
                <w:szCs w:val="20"/>
                <w:color w:val="auto"/>
              </w:rPr>
            </w:pPr>
            <w:r>
              <w:rPr>
                <w:rFonts w:ascii="Arial" w:cs="Arial" w:eastAsia="Arial" w:hAnsi="Arial"/>
                <w:sz w:val="18"/>
                <w:szCs w:val="18"/>
                <w:color w:val="auto"/>
              </w:rPr>
              <w:t>Less: Other</w:t>
            </w:r>
          </w:p>
        </w:tc>
        <w:tc>
          <w:tcPr>
            <w:tcW w:w="836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2860" w:type="dxa"/>
            <w:vAlign w:val="bottom"/>
            <w:tcBorders>
              <w:bottom w:val="single" w:sz="8" w:color="384348"/>
            </w:tcBorders>
          </w:tcPr>
          <w:p>
            <w:pPr>
              <w:ind w:left="120"/>
              <w:spacing w:after="0"/>
              <w:rPr>
                <w:sz w:val="20"/>
                <w:szCs w:val="20"/>
                <w:color w:val="auto"/>
              </w:rPr>
            </w:pPr>
            <w:r>
              <w:rPr>
                <w:rFonts w:ascii="Arial" w:cs="Arial" w:eastAsia="Arial" w:hAnsi="Arial"/>
                <w:sz w:val="18"/>
                <w:szCs w:val="18"/>
                <w:b w:val="1"/>
                <w:bCs w:val="1"/>
                <w:color w:val="auto"/>
              </w:rPr>
              <w:t>Organic sales percent change</w:t>
            </w:r>
          </w:p>
        </w:tc>
        <w:tc>
          <w:tcPr>
            <w:tcW w:w="83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8 %</w:t>
            </w:r>
          </w:p>
        </w:tc>
      </w:tr>
      <w:tr>
        <w:trPr>
          <w:trHeight w:val="466"/>
        </w:trPr>
        <w:tc>
          <w:tcPr>
            <w:tcW w:w="2860" w:type="dxa"/>
            <w:vAlign w:val="bottom"/>
            <w:tcBorders>
              <w:bottom w:val="single" w:sz="8" w:color="BFBFBF"/>
            </w:tcBorders>
          </w:tcPr>
          <w:p>
            <w:pPr>
              <w:ind w:left="20"/>
              <w:spacing w:after="0"/>
              <w:rPr>
                <w:sz w:val="20"/>
                <w:szCs w:val="20"/>
                <w:color w:val="auto"/>
              </w:rPr>
            </w:pPr>
            <w:r>
              <w:rPr>
                <w:rFonts w:ascii="Arial" w:cs="Arial" w:eastAsia="Arial" w:hAnsi="Arial"/>
                <w:sz w:val="18"/>
                <w:szCs w:val="18"/>
                <w:b w:val="1"/>
                <w:bCs w:val="1"/>
                <w:color w:val="auto"/>
              </w:rPr>
              <w:t>Commercial Aftermarket</w:t>
            </w:r>
          </w:p>
        </w:tc>
        <w:tc>
          <w:tcPr>
            <w:tcW w:w="8360" w:type="dxa"/>
            <w:vAlign w:val="bottom"/>
            <w:tcBorders>
              <w:bottom w:val="single" w:sz="8" w:color="BFBFBF"/>
            </w:tcBorders>
          </w:tcPr>
          <w:p>
            <w:pPr>
              <w:spacing w:after="0"/>
              <w:rPr>
                <w:sz w:val="24"/>
                <w:szCs w:val="24"/>
                <w:color w:val="auto"/>
              </w:rPr>
            </w:pPr>
          </w:p>
        </w:tc>
      </w:tr>
      <w:tr>
        <w:trPr>
          <w:trHeight w:val="223"/>
        </w:trPr>
        <w:tc>
          <w:tcPr>
            <w:tcW w:w="286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Reported sales percent change</w:t>
            </w:r>
          </w:p>
        </w:tc>
        <w:tc>
          <w:tcPr>
            <w:tcW w:w="8360" w:type="dxa"/>
            <w:vAlign w:val="bottom"/>
            <w:tcBorders>
              <w:bottom w:val="single" w:sz="8" w:color="BFBFBF"/>
            </w:tcBorders>
          </w:tcPr>
          <w:p>
            <w:pPr>
              <w:jc w:val="right"/>
              <w:spacing w:after="0"/>
              <w:rPr>
                <w:sz w:val="20"/>
                <w:szCs w:val="20"/>
                <w:color w:val="auto"/>
              </w:rPr>
            </w:pPr>
            <w:r>
              <w:rPr>
                <w:rFonts w:ascii="Arial" w:cs="Arial" w:eastAsia="Arial" w:hAnsi="Arial"/>
                <w:sz w:val="18"/>
                <w:szCs w:val="18"/>
                <w:b w:val="1"/>
                <w:bCs w:val="1"/>
                <w:color w:val="auto"/>
              </w:rPr>
              <w:t>2 %</w:t>
            </w:r>
          </w:p>
        </w:tc>
      </w:tr>
      <w:tr>
        <w:trPr>
          <w:trHeight w:val="223"/>
        </w:trPr>
        <w:tc>
          <w:tcPr>
            <w:tcW w:w="2860" w:type="dxa"/>
            <w:vAlign w:val="bottom"/>
            <w:tcBorders>
              <w:bottom w:val="single" w:sz="8" w:color="BFBFBF"/>
            </w:tcBorders>
          </w:tcPr>
          <w:p>
            <w:pPr>
              <w:ind w:left="120"/>
              <w:spacing w:after="0"/>
              <w:rPr>
                <w:sz w:val="20"/>
                <w:szCs w:val="20"/>
                <w:color w:val="auto"/>
              </w:rPr>
            </w:pPr>
            <w:r>
              <w:rPr>
                <w:rFonts w:ascii="Arial" w:cs="Arial" w:eastAsia="Arial" w:hAnsi="Arial"/>
                <w:sz w:val="18"/>
                <w:szCs w:val="18"/>
                <w:color w:val="auto"/>
              </w:rPr>
              <w:t>Less: Foreign currency translation</w:t>
            </w:r>
          </w:p>
        </w:tc>
        <w:tc>
          <w:tcPr>
            <w:tcW w:w="83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2860" w:type="dxa"/>
            <w:vAlign w:val="bottom"/>
            <w:tcBorders>
              <w:bottom w:val="single" w:sz="8" w:color="BFBFBF"/>
            </w:tcBorders>
          </w:tcPr>
          <w:p>
            <w:pPr>
              <w:ind w:left="120"/>
              <w:spacing w:after="0"/>
              <w:rPr>
                <w:sz w:val="20"/>
                <w:szCs w:val="20"/>
                <w:color w:val="auto"/>
              </w:rPr>
            </w:pPr>
            <w:r>
              <w:rPr>
                <w:rFonts w:ascii="Arial" w:cs="Arial" w:eastAsia="Arial" w:hAnsi="Arial"/>
                <w:sz w:val="18"/>
                <w:szCs w:val="18"/>
                <w:color w:val="auto"/>
              </w:rPr>
              <w:t>Less: Acquisitions</w:t>
            </w:r>
          </w:p>
        </w:tc>
        <w:tc>
          <w:tcPr>
            <w:tcW w:w="83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2860" w:type="dxa"/>
            <w:vAlign w:val="bottom"/>
            <w:tcBorders>
              <w:bottom w:val="single" w:sz="8" w:color="384348"/>
            </w:tcBorders>
          </w:tcPr>
          <w:p>
            <w:pPr>
              <w:ind w:left="120"/>
              <w:spacing w:after="0"/>
              <w:rPr>
                <w:sz w:val="20"/>
                <w:szCs w:val="20"/>
                <w:color w:val="auto"/>
              </w:rPr>
            </w:pPr>
            <w:r>
              <w:rPr>
                <w:rFonts w:ascii="Arial" w:cs="Arial" w:eastAsia="Arial" w:hAnsi="Arial"/>
                <w:sz w:val="18"/>
                <w:szCs w:val="18"/>
                <w:color w:val="auto"/>
              </w:rPr>
              <w:t>Less: Other</w:t>
            </w:r>
          </w:p>
        </w:tc>
        <w:tc>
          <w:tcPr>
            <w:tcW w:w="836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2860" w:type="dxa"/>
            <w:vAlign w:val="bottom"/>
            <w:tcBorders>
              <w:bottom w:val="single" w:sz="8" w:color="384348"/>
            </w:tcBorders>
          </w:tcPr>
          <w:p>
            <w:pPr>
              <w:ind w:left="120"/>
              <w:spacing w:after="0"/>
              <w:rPr>
                <w:sz w:val="20"/>
                <w:szCs w:val="20"/>
                <w:color w:val="auto"/>
              </w:rPr>
            </w:pPr>
            <w:r>
              <w:rPr>
                <w:rFonts w:ascii="Arial" w:cs="Arial" w:eastAsia="Arial" w:hAnsi="Arial"/>
                <w:sz w:val="18"/>
                <w:szCs w:val="18"/>
                <w:b w:val="1"/>
                <w:bCs w:val="1"/>
                <w:color w:val="auto"/>
              </w:rPr>
              <w:t>Organic sales percent change</w:t>
            </w:r>
          </w:p>
        </w:tc>
        <w:tc>
          <w:tcPr>
            <w:tcW w:w="83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2 %</w:t>
            </w:r>
          </w:p>
        </w:tc>
      </w:tr>
      <w:tr>
        <w:trPr>
          <w:trHeight w:val="466"/>
        </w:trPr>
        <w:tc>
          <w:tcPr>
            <w:tcW w:w="2860" w:type="dxa"/>
            <w:vAlign w:val="bottom"/>
            <w:tcBorders>
              <w:bottom w:val="single" w:sz="8" w:color="BFBFBF"/>
            </w:tcBorders>
          </w:tcPr>
          <w:p>
            <w:pPr>
              <w:ind w:left="20"/>
              <w:spacing w:after="0"/>
              <w:rPr>
                <w:sz w:val="20"/>
                <w:szCs w:val="20"/>
                <w:color w:val="auto"/>
              </w:rPr>
            </w:pPr>
            <w:r>
              <w:rPr>
                <w:rFonts w:ascii="Arial" w:cs="Arial" w:eastAsia="Arial" w:hAnsi="Arial"/>
                <w:sz w:val="18"/>
                <w:szCs w:val="18"/>
                <w:b w:val="1"/>
                <w:bCs w:val="1"/>
                <w:color w:val="auto"/>
              </w:rPr>
              <w:t>Defense and Space</w:t>
            </w:r>
          </w:p>
        </w:tc>
        <w:tc>
          <w:tcPr>
            <w:tcW w:w="8360" w:type="dxa"/>
            <w:vAlign w:val="bottom"/>
            <w:tcBorders>
              <w:bottom w:val="single" w:sz="8" w:color="BFBFBF"/>
            </w:tcBorders>
          </w:tcPr>
          <w:p>
            <w:pPr>
              <w:spacing w:after="0"/>
              <w:rPr>
                <w:sz w:val="24"/>
                <w:szCs w:val="24"/>
                <w:color w:val="auto"/>
              </w:rPr>
            </w:pPr>
          </w:p>
        </w:tc>
      </w:tr>
      <w:tr>
        <w:trPr>
          <w:trHeight w:val="223"/>
        </w:trPr>
        <w:tc>
          <w:tcPr>
            <w:tcW w:w="2860" w:type="dxa"/>
            <w:vAlign w:val="bottom"/>
            <w:tcBorders>
              <w:bottom w:val="single" w:sz="8" w:color="BFBFBF"/>
            </w:tcBorders>
          </w:tcPr>
          <w:p>
            <w:pPr>
              <w:ind w:left="120"/>
              <w:spacing w:after="0"/>
              <w:rPr>
                <w:sz w:val="20"/>
                <w:szCs w:val="20"/>
                <w:color w:val="auto"/>
              </w:rPr>
            </w:pPr>
            <w:r>
              <w:rPr>
                <w:rFonts w:ascii="Arial" w:cs="Arial" w:eastAsia="Arial" w:hAnsi="Arial"/>
                <w:sz w:val="18"/>
                <w:szCs w:val="18"/>
                <w:b w:val="1"/>
                <w:bCs w:val="1"/>
                <w:color w:val="auto"/>
              </w:rPr>
              <w:t>Reported sales percent change</w:t>
            </w:r>
          </w:p>
        </w:tc>
        <w:tc>
          <w:tcPr>
            <w:tcW w:w="8360" w:type="dxa"/>
            <w:vAlign w:val="bottom"/>
            <w:tcBorders>
              <w:bottom w:val="single" w:sz="8" w:color="BFBFBF"/>
            </w:tcBorders>
          </w:tcPr>
          <w:p>
            <w:pPr>
              <w:jc w:val="right"/>
              <w:spacing w:after="0"/>
              <w:rPr>
                <w:sz w:val="20"/>
                <w:szCs w:val="20"/>
                <w:color w:val="auto"/>
              </w:rPr>
            </w:pPr>
            <w:r>
              <w:rPr>
                <w:rFonts w:ascii="Arial" w:cs="Arial" w:eastAsia="Arial" w:hAnsi="Arial"/>
                <w:sz w:val="18"/>
                <w:szCs w:val="18"/>
                <w:b w:val="1"/>
                <w:bCs w:val="1"/>
                <w:color w:val="auto"/>
              </w:rPr>
              <w:t>1 %</w:t>
            </w:r>
          </w:p>
        </w:tc>
      </w:tr>
      <w:tr>
        <w:trPr>
          <w:trHeight w:val="223"/>
        </w:trPr>
        <w:tc>
          <w:tcPr>
            <w:tcW w:w="2860" w:type="dxa"/>
            <w:vAlign w:val="bottom"/>
            <w:tcBorders>
              <w:bottom w:val="single" w:sz="8" w:color="BFBFBF"/>
            </w:tcBorders>
          </w:tcPr>
          <w:p>
            <w:pPr>
              <w:ind w:left="120"/>
              <w:spacing w:after="0"/>
              <w:rPr>
                <w:sz w:val="20"/>
                <w:szCs w:val="20"/>
                <w:color w:val="auto"/>
              </w:rPr>
            </w:pPr>
            <w:r>
              <w:rPr>
                <w:rFonts w:ascii="Arial" w:cs="Arial" w:eastAsia="Arial" w:hAnsi="Arial"/>
                <w:sz w:val="18"/>
                <w:szCs w:val="18"/>
                <w:color w:val="auto"/>
              </w:rPr>
              <w:t>Less: Foreign currency translation</w:t>
            </w:r>
          </w:p>
        </w:tc>
        <w:tc>
          <w:tcPr>
            <w:tcW w:w="83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2860" w:type="dxa"/>
            <w:vAlign w:val="bottom"/>
            <w:tcBorders>
              <w:bottom w:val="single" w:sz="8" w:color="BFBFBF"/>
            </w:tcBorders>
          </w:tcPr>
          <w:p>
            <w:pPr>
              <w:ind w:left="120"/>
              <w:spacing w:after="0"/>
              <w:rPr>
                <w:sz w:val="20"/>
                <w:szCs w:val="20"/>
                <w:color w:val="auto"/>
              </w:rPr>
            </w:pPr>
            <w:r>
              <w:rPr>
                <w:rFonts w:ascii="Arial" w:cs="Arial" w:eastAsia="Arial" w:hAnsi="Arial"/>
                <w:sz w:val="18"/>
                <w:szCs w:val="18"/>
                <w:color w:val="auto"/>
              </w:rPr>
              <w:t>Less: Acquisitions</w:t>
            </w:r>
          </w:p>
        </w:tc>
        <w:tc>
          <w:tcPr>
            <w:tcW w:w="836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2860" w:type="dxa"/>
            <w:vAlign w:val="bottom"/>
            <w:tcBorders>
              <w:bottom w:val="single" w:sz="8" w:color="384348"/>
            </w:tcBorders>
          </w:tcPr>
          <w:p>
            <w:pPr>
              <w:ind w:left="120"/>
              <w:spacing w:after="0"/>
              <w:rPr>
                <w:sz w:val="20"/>
                <w:szCs w:val="20"/>
                <w:color w:val="auto"/>
              </w:rPr>
            </w:pPr>
            <w:r>
              <w:rPr>
                <w:rFonts w:ascii="Arial" w:cs="Arial" w:eastAsia="Arial" w:hAnsi="Arial"/>
                <w:sz w:val="18"/>
                <w:szCs w:val="18"/>
                <w:color w:val="auto"/>
              </w:rPr>
              <w:t>Less: Other</w:t>
            </w:r>
          </w:p>
        </w:tc>
        <w:tc>
          <w:tcPr>
            <w:tcW w:w="836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2860" w:type="dxa"/>
            <w:vAlign w:val="bottom"/>
            <w:tcBorders>
              <w:bottom w:val="single" w:sz="8" w:color="384348"/>
            </w:tcBorders>
          </w:tcPr>
          <w:p>
            <w:pPr>
              <w:ind w:left="120"/>
              <w:spacing w:after="0"/>
              <w:rPr>
                <w:sz w:val="20"/>
                <w:szCs w:val="20"/>
                <w:color w:val="auto"/>
              </w:rPr>
            </w:pPr>
            <w:r>
              <w:rPr>
                <w:rFonts w:ascii="Arial" w:cs="Arial" w:eastAsia="Arial" w:hAnsi="Arial"/>
                <w:sz w:val="18"/>
                <w:szCs w:val="18"/>
                <w:b w:val="1"/>
                <w:bCs w:val="1"/>
                <w:color w:val="auto"/>
              </w:rPr>
              <w:t>Organic sales percent change</w:t>
            </w:r>
          </w:p>
        </w:tc>
        <w:tc>
          <w:tcPr>
            <w:tcW w:w="836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1 %</w:t>
            </w:r>
          </w:p>
        </w:tc>
      </w:tr>
    </w:tbl>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organic sales percentage as the year-over-year change in reported Net sales relative to the comparable period, excluding the impact on sales from foreign currency translation and acquisitions, net of divestitures, for the first 12 months following the transaction date, and other items that are unusual and non-recurring in nature (e.g., impact of comprehensive settlement related to Flexjet litigation). We believe this measure is useful to investors and management in understanding our ongoing operations and in analysis of ongoing operating trends.</w:t>
      </w:r>
    </w:p>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Honeywell Aerospace 3Q26 Results - 12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Honeywell Aerospace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to Segment Profit and Adjusted EBIT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40" w:type="dxa"/>
            <w:vAlign w:val="bottom"/>
          </w:tcPr>
          <w:p>
            <w:pPr>
              <w:spacing w:after="0"/>
              <w:rPr>
                <w:sz w:val="17"/>
                <w:szCs w:val="17"/>
                <w:color w:val="auto"/>
              </w:rPr>
            </w:pPr>
          </w:p>
        </w:tc>
        <w:tc>
          <w:tcPr>
            <w:tcW w:w="460" w:type="dxa"/>
            <w:vAlign w:val="bottom"/>
            <w:tcBorders>
              <w:bottom w:val="single" w:sz="8" w:color="FF4400"/>
            </w:tcBorders>
          </w:tcPr>
          <w:p>
            <w:pPr>
              <w:spacing w:after="0"/>
              <w:rPr>
                <w:sz w:val="17"/>
                <w:szCs w:val="17"/>
                <w:color w:val="auto"/>
              </w:rPr>
            </w:pPr>
          </w:p>
        </w:tc>
        <w:tc>
          <w:tcPr>
            <w:tcW w:w="1880" w:type="dxa"/>
            <w:vAlign w:val="bottom"/>
            <w:tcBorders>
              <w:bottom w:val="single" w:sz="8" w:color="FF4400"/>
            </w:tcBorders>
            <w:gridSpan w:val="2"/>
          </w:tcPr>
          <w:p>
            <w:pPr>
              <w:jc w:val="right"/>
              <w:ind w:right="56"/>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FF4400"/>
            </w:tcBorders>
          </w:tcPr>
          <w:p>
            <w:pPr>
              <w:spacing w:after="0"/>
              <w:rPr>
                <w:sz w:val="17"/>
                <w:szCs w:val="17"/>
                <w:color w:val="auto"/>
              </w:rPr>
            </w:pPr>
          </w:p>
        </w:tc>
      </w:tr>
      <w:tr>
        <w:trPr>
          <w:trHeight w:val="202"/>
        </w:trPr>
        <w:tc>
          <w:tcPr>
            <w:tcW w:w="8240" w:type="dxa"/>
            <w:vAlign w:val="bottom"/>
            <w:tcBorders>
              <w:bottom w:val="single" w:sz="8" w:color="FF4400"/>
            </w:tcBorders>
          </w:tcPr>
          <w:p>
            <w:pPr>
              <w:spacing w:after="0"/>
              <w:rPr>
                <w:sz w:val="17"/>
                <w:szCs w:val="17"/>
                <w:color w:val="auto"/>
              </w:rPr>
            </w:pPr>
          </w:p>
        </w:tc>
        <w:tc>
          <w:tcPr>
            <w:tcW w:w="1500" w:type="dxa"/>
            <w:vAlign w:val="bottom"/>
            <w:tcBorders>
              <w:bottom w:val="single" w:sz="8" w:color="FF4400"/>
            </w:tcBorders>
            <w:gridSpan w:val="2"/>
          </w:tcPr>
          <w:p>
            <w:pPr>
              <w:jc w:val="right"/>
              <w:ind w:right="12"/>
              <w:spacing w:after="0"/>
              <w:rPr>
                <w:sz w:val="20"/>
                <w:szCs w:val="20"/>
                <w:color w:val="auto"/>
              </w:rPr>
            </w:pPr>
            <w:r>
              <w:rPr>
                <w:rFonts w:ascii="Arial" w:cs="Arial" w:eastAsia="Arial" w:hAnsi="Arial"/>
                <w:sz w:val="14"/>
                <w:szCs w:val="14"/>
                <w:b w:val="1"/>
                <w:bCs w:val="1"/>
                <w:color w:val="auto"/>
              </w:rPr>
              <w:t>September 26, 2026</w:t>
            </w:r>
          </w:p>
        </w:tc>
        <w:tc>
          <w:tcPr>
            <w:tcW w:w="1480" w:type="dxa"/>
            <w:vAlign w:val="bottom"/>
            <w:tcBorders>
              <w:bottom w:val="single" w:sz="8" w:color="FF4400"/>
            </w:tcBorders>
            <w:gridSpan w:val="2"/>
          </w:tcPr>
          <w:p>
            <w:pPr>
              <w:jc w:val="right"/>
              <w:spacing w:after="0"/>
              <w:rPr>
                <w:sz w:val="20"/>
                <w:szCs w:val="20"/>
                <w:color w:val="auto"/>
              </w:rPr>
            </w:pPr>
            <w:r>
              <w:rPr>
                <w:rFonts w:ascii="Arial" w:cs="Arial" w:eastAsia="Arial" w:hAnsi="Arial"/>
                <w:sz w:val="14"/>
                <w:szCs w:val="14"/>
                <w:b w:val="1"/>
                <w:bCs w:val="1"/>
                <w:color w:val="auto"/>
              </w:rPr>
              <w:t>September 27, 2025</w:t>
            </w:r>
          </w:p>
        </w:tc>
      </w:tr>
      <w:tr>
        <w:trPr>
          <w:trHeight w:val="224"/>
        </w:trPr>
        <w:tc>
          <w:tcPr>
            <w:tcW w:w="8240" w:type="dxa"/>
            <w:vAlign w:val="bottom"/>
            <w:tcBorders>
              <w:bottom w:val="single" w:sz="8" w:color="BFBFBF"/>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460" w:type="dxa"/>
            <w:vAlign w:val="bottom"/>
            <w:tcBorders>
              <w:bottom w:val="single" w:sz="8" w:color="BFBFBF"/>
            </w:tcBorders>
          </w:tcPr>
          <w:p>
            <w:pPr>
              <w:jc w:val="right"/>
              <w:ind w:right="256"/>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b w:val="1"/>
                <w:bCs w:val="1"/>
                <w:color w:val="auto"/>
              </w:rPr>
              <w:t>737</w:t>
            </w:r>
          </w:p>
        </w:tc>
        <w:tc>
          <w:tcPr>
            <w:tcW w:w="840" w:type="dxa"/>
            <w:vAlign w:val="bottom"/>
            <w:tcBorders>
              <w:bottom w:val="single" w:sz="8" w:color="BFBFBF"/>
            </w:tcBorders>
          </w:tcPr>
          <w:p>
            <w:pPr>
              <w:jc w:val="right"/>
              <w:ind w:right="596"/>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BFBFBF"/>
            </w:tcBorders>
          </w:tcPr>
          <w:p>
            <w:pPr>
              <w:jc w:val="right"/>
              <w:spacing w:after="0"/>
              <w:rPr>
                <w:sz w:val="20"/>
                <w:szCs w:val="20"/>
                <w:color w:val="auto"/>
              </w:rPr>
            </w:pPr>
            <w:r>
              <w:rPr>
                <w:rFonts w:ascii="Arial" w:cs="Arial" w:eastAsia="Arial" w:hAnsi="Arial"/>
                <w:sz w:val="18"/>
                <w:szCs w:val="18"/>
                <w:b w:val="1"/>
                <w:bCs w:val="1"/>
                <w:color w:val="auto"/>
              </w:rPr>
              <w:t>654</w:t>
            </w:r>
          </w:p>
        </w:tc>
      </w:tr>
      <w:tr>
        <w:trPr>
          <w:trHeight w:val="223"/>
        </w:trPr>
        <w:tc>
          <w:tcPr>
            <w:tcW w:w="82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Income tax expense</w:t>
            </w:r>
          </w:p>
        </w:tc>
        <w:tc>
          <w:tcPr>
            <w:tcW w:w="460" w:type="dxa"/>
            <w:vAlign w:val="bottom"/>
            <w:tcBorders>
              <w:bottom w:val="single" w:sz="8" w:color="BFBFBF"/>
            </w:tcBorders>
          </w:tcPr>
          <w:p>
            <w:pPr>
              <w:spacing w:after="0"/>
              <w:rPr>
                <w:sz w:val="19"/>
                <w:szCs w:val="19"/>
                <w:color w:val="auto"/>
              </w:rPr>
            </w:pPr>
          </w:p>
        </w:tc>
        <w:tc>
          <w:tcPr>
            <w:tcW w:w="104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164</w:t>
            </w:r>
          </w:p>
        </w:tc>
        <w:tc>
          <w:tcPr>
            <w:tcW w:w="840" w:type="dxa"/>
            <w:vAlign w:val="bottom"/>
            <w:tcBorders>
              <w:bottom w:val="single" w:sz="8" w:color="BFBFBF"/>
            </w:tcBorders>
          </w:tcPr>
          <w:p>
            <w:pPr>
              <w:spacing w:after="0"/>
              <w:rPr>
                <w:sz w:val="19"/>
                <w:szCs w:val="19"/>
                <w:color w:val="auto"/>
              </w:rPr>
            </w:pPr>
          </w:p>
        </w:tc>
        <w:tc>
          <w:tcPr>
            <w:tcW w:w="6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8240" w:type="dxa"/>
            <w:vAlign w:val="bottom"/>
            <w:tcBorders>
              <w:bottom w:val="single" w:sz="8" w:color="BFBFBF"/>
            </w:tcBorders>
          </w:tcPr>
          <w:p>
            <w:pPr>
              <w:ind w:left="20"/>
              <w:spacing w:after="0" w:line="223" w:lineRule="exact"/>
              <w:rPr>
                <w:sz w:val="20"/>
                <w:szCs w:val="20"/>
                <w:color w:val="auto"/>
              </w:rPr>
            </w:pPr>
            <w:r>
              <w:rPr>
                <w:rFonts w:ascii="Arial" w:cs="Arial" w:eastAsia="Arial" w:hAnsi="Arial"/>
                <w:sz w:val="18"/>
                <w:szCs w:val="18"/>
                <w:color w:val="auto"/>
              </w:rPr>
              <w:t>Amortization of acquisition-related intangibles</w:t>
            </w:r>
            <w:r>
              <w:rPr>
                <w:rFonts w:ascii="Arial" w:cs="Arial" w:eastAsia="Arial" w:hAnsi="Arial"/>
                <w:sz w:val="23"/>
                <w:szCs w:val="23"/>
                <w:color w:val="auto"/>
                <w:vertAlign w:val="superscript"/>
              </w:rPr>
              <w:t>(1)</w:t>
            </w:r>
          </w:p>
        </w:tc>
        <w:tc>
          <w:tcPr>
            <w:tcW w:w="460" w:type="dxa"/>
            <w:vAlign w:val="bottom"/>
            <w:tcBorders>
              <w:bottom w:val="single" w:sz="8" w:color="BFBFBF"/>
            </w:tcBorders>
          </w:tcPr>
          <w:p>
            <w:pPr>
              <w:spacing w:after="0"/>
              <w:rPr>
                <w:sz w:val="19"/>
                <w:szCs w:val="19"/>
                <w:color w:val="auto"/>
              </w:rPr>
            </w:pPr>
          </w:p>
        </w:tc>
        <w:tc>
          <w:tcPr>
            <w:tcW w:w="104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28</w:t>
            </w:r>
          </w:p>
        </w:tc>
        <w:tc>
          <w:tcPr>
            <w:tcW w:w="840" w:type="dxa"/>
            <w:vAlign w:val="bottom"/>
            <w:tcBorders>
              <w:bottom w:val="single" w:sz="8" w:color="BFBFBF"/>
            </w:tcBorders>
          </w:tcPr>
          <w:p>
            <w:pPr>
              <w:spacing w:after="0"/>
              <w:rPr>
                <w:sz w:val="19"/>
                <w:szCs w:val="19"/>
                <w:color w:val="auto"/>
              </w:rPr>
            </w:pPr>
          </w:p>
        </w:tc>
        <w:tc>
          <w:tcPr>
            <w:tcW w:w="6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240" w:type="dxa"/>
            <w:vAlign w:val="bottom"/>
            <w:tcBorders>
              <w:bottom w:val="single" w:sz="8" w:color="BFBFBF"/>
            </w:tcBorders>
          </w:tcPr>
          <w:p>
            <w:pPr>
              <w:ind w:left="20"/>
              <w:spacing w:after="0" w:line="223" w:lineRule="exact"/>
              <w:rPr>
                <w:sz w:val="20"/>
                <w:szCs w:val="20"/>
                <w:color w:val="auto"/>
              </w:rPr>
            </w:pPr>
            <w:r>
              <w:rPr>
                <w:rFonts w:ascii="Arial" w:cs="Arial" w:eastAsia="Arial" w:hAnsi="Arial"/>
                <w:sz w:val="18"/>
                <w:szCs w:val="18"/>
                <w:color w:val="auto"/>
              </w:rPr>
              <w:t>Stock compensation expense</w:t>
            </w:r>
            <w:r>
              <w:rPr>
                <w:rFonts w:ascii="Arial" w:cs="Arial" w:eastAsia="Arial" w:hAnsi="Arial"/>
                <w:sz w:val="23"/>
                <w:szCs w:val="23"/>
                <w:color w:val="auto"/>
                <w:vertAlign w:val="superscript"/>
              </w:rPr>
              <w:t>(2)</w:t>
            </w:r>
          </w:p>
        </w:tc>
        <w:tc>
          <w:tcPr>
            <w:tcW w:w="460" w:type="dxa"/>
            <w:vAlign w:val="bottom"/>
            <w:tcBorders>
              <w:bottom w:val="single" w:sz="8" w:color="BFBFBF"/>
            </w:tcBorders>
          </w:tcPr>
          <w:p>
            <w:pPr>
              <w:spacing w:after="0"/>
              <w:rPr>
                <w:sz w:val="19"/>
                <w:szCs w:val="19"/>
                <w:color w:val="auto"/>
              </w:rPr>
            </w:pPr>
          </w:p>
        </w:tc>
        <w:tc>
          <w:tcPr>
            <w:tcW w:w="104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28</w:t>
            </w:r>
          </w:p>
        </w:tc>
        <w:tc>
          <w:tcPr>
            <w:tcW w:w="840" w:type="dxa"/>
            <w:vAlign w:val="bottom"/>
            <w:tcBorders>
              <w:bottom w:val="single" w:sz="8" w:color="BFBFBF"/>
            </w:tcBorders>
          </w:tcPr>
          <w:p>
            <w:pPr>
              <w:spacing w:after="0"/>
              <w:rPr>
                <w:sz w:val="19"/>
                <w:szCs w:val="19"/>
                <w:color w:val="auto"/>
              </w:rPr>
            </w:pPr>
          </w:p>
        </w:tc>
        <w:tc>
          <w:tcPr>
            <w:tcW w:w="6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8240" w:type="dxa"/>
            <w:vAlign w:val="bottom"/>
            <w:tcBorders>
              <w:bottom w:val="single" w:sz="8" w:color="BFBFBF"/>
            </w:tcBorders>
          </w:tcPr>
          <w:p>
            <w:pPr>
              <w:ind w:left="20"/>
              <w:spacing w:after="0" w:line="223" w:lineRule="exact"/>
              <w:rPr>
                <w:sz w:val="20"/>
                <w:szCs w:val="20"/>
                <w:color w:val="auto"/>
              </w:rPr>
            </w:pPr>
            <w:r>
              <w:rPr>
                <w:rFonts w:ascii="Arial" w:cs="Arial" w:eastAsia="Arial" w:hAnsi="Arial"/>
                <w:sz w:val="18"/>
                <w:szCs w:val="18"/>
                <w:color w:val="auto"/>
              </w:rPr>
              <w:t>Environmental expense</w:t>
            </w:r>
            <w:r>
              <w:rPr>
                <w:rFonts w:ascii="Arial" w:cs="Arial" w:eastAsia="Arial" w:hAnsi="Arial"/>
                <w:sz w:val="23"/>
                <w:szCs w:val="23"/>
                <w:color w:val="auto"/>
                <w:vertAlign w:val="superscript"/>
              </w:rPr>
              <w:t>(3)</w:t>
            </w:r>
          </w:p>
        </w:tc>
        <w:tc>
          <w:tcPr>
            <w:tcW w:w="460" w:type="dxa"/>
            <w:vAlign w:val="bottom"/>
            <w:tcBorders>
              <w:bottom w:val="single" w:sz="8" w:color="BFBFBF"/>
            </w:tcBorders>
          </w:tcPr>
          <w:p>
            <w:pPr>
              <w:spacing w:after="0"/>
              <w:rPr>
                <w:sz w:val="19"/>
                <w:szCs w:val="19"/>
                <w:color w:val="auto"/>
              </w:rPr>
            </w:pPr>
          </w:p>
        </w:tc>
        <w:tc>
          <w:tcPr>
            <w:tcW w:w="104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19</w:t>
            </w:r>
          </w:p>
        </w:tc>
        <w:tc>
          <w:tcPr>
            <w:tcW w:w="840" w:type="dxa"/>
            <w:vAlign w:val="bottom"/>
            <w:tcBorders>
              <w:bottom w:val="single" w:sz="8" w:color="BFBFBF"/>
            </w:tcBorders>
          </w:tcPr>
          <w:p>
            <w:pPr>
              <w:spacing w:after="0"/>
              <w:rPr>
                <w:sz w:val="19"/>
                <w:szCs w:val="19"/>
                <w:color w:val="auto"/>
              </w:rPr>
            </w:pPr>
          </w:p>
        </w:tc>
        <w:tc>
          <w:tcPr>
            <w:tcW w:w="6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258</w:t>
            </w:r>
          </w:p>
        </w:tc>
      </w:tr>
      <w:tr>
        <w:trPr>
          <w:trHeight w:val="223"/>
        </w:trPr>
        <w:tc>
          <w:tcPr>
            <w:tcW w:w="8240" w:type="dxa"/>
            <w:vAlign w:val="bottom"/>
            <w:tcBorders>
              <w:bottom w:val="single" w:sz="8" w:color="BFBFBF"/>
            </w:tcBorders>
          </w:tcPr>
          <w:p>
            <w:pPr>
              <w:ind w:left="20"/>
              <w:spacing w:after="0" w:line="223" w:lineRule="exact"/>
              <w:rPr>
                <w:sz w:val="20"/>
                <w:szCs w:val="20"/>
                <w:color w:val="auto"/>
              </w:rPr>
            </w:pPr>
            <w:r>
              <w:rPr>
                <w:rFonts w:ascii="Arial" w:cs="Arial" w:eastAsia="Arial" w:hAnsi="Arial"/>
                <w:sz w:val="18"/>
                <w:szCs w:val="18"/>
                <w:color w:val="auto"/>
              </w:rPr>
              <w:t>Transaction costs</w:t>
            </w:r>
            <w:r>
              <w:rPr>
                <w:rFonts w:ascii="Arial" w:cs="Arial" w:eastAsia="Arial" w:hAnsi="Arial"/>
                <w:sz w:val="23"/>
                <w:szCs w:val="23"/>
                <w:color w:val="auto"/>
                <w:vertAlign w:val="superscript"/>
              </w:rPr>
              <w:t>(4)</w:t>
            </w:r>
          </w:p>
        </w:tc>
        <w:tc>
          <w:tcPr>
            <w:tcW w:w="460" w:type="dxa"/>
            <w:vAlign w:val="bottom"/>
            <w:tcBorders>
              <w:bottom w:val="single" w:sz="8" w:color="BFBFBF"/>
            </w:tcBorders>
          </w:tcPr>
          <w:p>
            <w:pPr>
              <w:spacing w:after="0"/>
              <w:rPr>
                <w:sz w:val="19"/>
                <w:szCs w:val="19"/>
                <w:color w:val="auto"/>
              </w:rPr>
            </w:pPr>
          </w:p>
        </w:tc>
        <w:tc>
          <w:tcPr>
            <w:tcW w:w="104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18</w:t>
            </w:r>
          </w:p>
        </w:tc>
        <w:tc>
          <w:tcPr>
            <w:tcW w:w="840" w:type="dxa"/>
            <w:vAlign w:val="bottom"/>
            <w:tcBorders>
              <w:bottom w:val="single" w:sz="8" w:color="BFBFBF"/>
            </w:tcBorders>
          </w:tcPr>
          <w:p>
            <w:pPr>
              <w:spacing w:after="0"/>
              <w:rPr>
                <w:sz w:val="19"/>
                <w:szCs w:val="19"/>
                <w:color w:val="auto"/>
              </w:rPr>
            </w:pPr>
          </w:p>
        </w:tc>
        <w:tc>
          <w:tcPr>
            <w:tcW w:w="6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143</w:t>
            </w:r>
          </w:p>
        </w:tc>
      </w:tr>
      <w:tr>
        <w:trPr>
          <w:trHeight w:val="223"/>
        </w:trPr>
        <w:tc>
          <w:tcPr>
            <w:tcW w:w="8240" w:type="dxa"/>
            <w:vAlign w:val="bottom"/>
            <w:tcBorders>
              <w:bottom w:val="single" w:sz="8" w:color="BFBFBF"/>
            </w:tcBorders>
          </w:tcPr>
          <w:p>
            <w:pPr>
              <w:ind w:left="20"/>
              <w:spacing w:after="0" w:line="223" w:lineRule="exact"/>
              <w:rPr>
                <w:sz w:val="20"/>
                <w:szCs w:val="20"/>
                <w:color w:val="auto"/>
              </w:rPr>
            </w:pPr>
            <w:r>
              <w:rPr>
                <w:rFonts w:ascii="Arial" w:cs="Arial" w:eastAsia="Arial" w:hAnsi="Arial"/>
                <w:sz w:val="18"/>
                <w:szCs w:val="18"/>
                <w:color w:val="auto"/>
              </w:rPr>
              <w:t>Honeywell trademark license expense</w:t>
            </w:r>
            <w:r>
              <w:rPr>
                <w:rFonts w:ascii="Arial" w:cs="Arial" w:eastAsia="Arial" w:hAnsi="Arial"/>
                <w:sz w:val="23"/>
                <w:szCs w:val="23"/>
                <w:color w:val="auto"/>
                <w:vertAlign w:val="superscript"/>
              </w:rPr>
              <w:t>(2)</w:t>
            </w:r>
          </w:p>
        </w:tc>
        <w:tc>
          <w:tcPr>
            <w:tcW w:w="460" w:type="dxa"/>
            <w:vAlign w:val="bottom"/>
            <w:tcBorders>
              <w:bottom w:val="single" w:sz="8" w:color="BFBFBF"/>
            </w:tcBorders>
          </w:tcPr>
          <w:p>
            <w:pPr>
              <w:spacing w:after="0"/>
              <w:rPr>
                <w:sz w:val="19"/>
                <w:szCs w:val="19"/>
                <w:color w:val="auto"/>
              </w:rPr>
            </w:pPr>
          </w:p>
        </w:tc>
        <w:tc>
          <w:tcPr>
            <w:tcW w:w="104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54</w:t>
            </w:r>
          </w:p>
        </w:tc>
        <w:tc>
          <w:tcPr>
            <w:tcW w:w="840" w:type="dxa"/>
            <w:vAlign w:val="bottom"/>
            <w:tcBorders>
              <w:bottom w:val="single" w:sz="8" w:color="BFBFBF"/>
            </w:tcBorders>
          </w:tcPr>
          <w:p>
            <w:pPr>
              <w:spacing w:after="0"/>
              <w:rPr>
                <w:sz w:val="19"/>
                <w:szCs w:val="19"/>
                <w:color w:val="auto"/>
              </w:rPr>
            </w:pPr>
          </w:p>
        </w:tc>
        <w:tc>
          <w:tcPr>
            <w:tcW w:w="6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tcBorders>
              <w:bottom w:val="single" w:sz="8" w:color="BFBFBF"/>
            </w:tcBorders>
          </w:tcPr>
          <w:p>
            <w:pPr>
              <w:ind w:left="20"/>
              <w:spacing w:after="0" w:line="223" w:lineRule="exact"/>
              <w:rPr>
                <w:sz w:val="20"/>
                <w:szCs w:val="20"/>
                <w:color w:val="auto"/>
              </w:rPr>
            </w:pPr>
            <w:r>
              <w:rPr>
                <w:rFonts w:ascii="Arial" w:cs="Arial" w:eastAsia="Arial" w:hAnsi="Arial"/>
                <w:sz w:val="18"/>
                <w:szCs w:val="18"/>
                <w:color w:val="auto"/>
              </w:rPr>
              <w:t>Pension (income) expense</w:t>
            </w:r>
            <w:r>
              <w:rPr>
                <w:rFonts w:ascii="Arial" w:cs="Arial" w:eastAsia="Arial" w:hAnsi="Arial"/>
                <w:sz w:val="23"/>
                <w:szCs w:val="23"/>
                <w:color w:val="auto"/>
                <w:vertAlign w:val="superscript"/>
              </w:rPr>
              <w:t>(5)</w:t>
            </w:r>
          </w:p>
        </w:tc>
        <w:tc>
          <w:tcPr>
            <w:tcW w:w="460" w:type="dxa"/>
            <w:vAlign w:val="bottom"/>
            <w:tcBorders>
              <w:bottom w:val="single" w:sz="8" w:color="BFBFBF"/>
            </w:tcBorders>
          </w:tcPr>
          <w:p>
            <w:pPr>
              <w:spacing w:after="0"/>
              <w:rPr>
                <w:sz w:val="19"/>
                <w:szCs w:val="19"/>
                <w:color w:val="auto"/>
              </w:rPr>
            </w:pPr>
          </w:p>
        </w:tc>
        <w:tc>
          <w:tcPr>
            <w:tcW w:w="10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(76)</w:t>
            </w:r>
          </w:p>
        </w:tc>
        <w:tc>
          <w:tcPr>
            <w:tcW w:w="840" w:type="dxa"/>
            <w:vAlign w:val="bottom"/>
            <w:tcBorders>
              <w:bottom w:val="single" w:sz="8" w:color="BFBFBF"/>
            </w:tcBorders>
          </w:tcPr>
          <w:p>
            <w:pPr>
              <w:spacing w:after="0"/>
              <w:rPr>
                <w:sz w:val="19"/>
                <w:szCs w:val="19"/>
                <w:color w:val="auto"/>
              </w:rPr>
            </w:pPr>
          </w:p>
        </w:tc>
        <w:tc>
          <w:tcPr>
            <w:tcW w:w="6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240" w:type="dxa"/>
            <w:vAlign w:val="bottom"/>
            <w:tcBorders>
              <w:bottom w:val="single" w:sz="8" w:color="BFBFBF"/>
            </w:tcBorders>
          </w:tcPr>
          <w:p>
            <w:pPr>
              <w:ind w:left="20"/>
              <w:spacing w:after="0"/>
              <w:rPr>
                <w:sz w:val="20"/>
                <w:szCs w:val="20"/>
                <w:color w:val="auto"/>
              </w:rPr>
            </w:pPr>
            <w:r>
              <w:rPr>
                <w:rFonts w:ascii="Arial" w:cs="Arial" w:eastAsia="Arial" w:hAnsi="Arial"/>
                <w:sz w:val="18"/>
                <w:szCs w:val="18"/>
                <w:color w:val="auto"/>
              </w:rPr>
              <w:t>Interest expense (income), net</w:t>
            </w:r>
          </w:p>
        </w:tc>
        <w:tc>
          <w:tcPr>
            <w:tcW w:w="460" w:type="dxa"/>
            <w:vAlign w:val="bottom"/>
            <w:tcBorders>
              <w:bottom w:val="single" w:sz="8" w:color="BFBFBF"/>
            </w:tcBorders>
          </w:tcPr>
          <w:p>
            <w:pPr>
              <w:spacing w:after="0"/>
              <w:rPr>
                <w:sz w:val="19"/>
                <w:szCs w:val="19"/>
                <w:color w:val="auto"/>
              </w:rPr>
            </w:pPr>
          </w:p>
        </w:tc>
        <w:tc>
          <w:tcPr>
            <w:tcW w:w="1040" w:type="dxa"/>
            <w:vAlign w:val="bottom"/>
            <w:tcBorders>
              <w:bottom w:val="single" w:sz="8" w:color="BFBFBF"/>
            </w:tcBorders>
          </w:tcPr>
          <w:p>
            <w:pPr>
              <w:jc w:val="right"/>
              <w:ind w:right="32"/>
              <w:spacing w:after="0"/>
              <w:rPr>
                <w:sz w:val="20"/>
                <w:szCs w:val="20"/>
                <w:color w:val="auto"/>
              </w:rPr>
            </w:pPr>
            <w:r>
              <w:rPr>
                <w:rFonts w:ascii="Arial" w:cs="Arial" w:eastAsia="Arial" w:hAnsi="Arial"/>
                <w:sz w:val="18"/>
                <w:szCs w:val="18"/>
                <w:color w:val="auto"/>
              </w:rPr>
              <w:t>187</w:t>
            </w:r>
          </w:p>
        </w:tc>
        <w:tc>
          <w:tcPr>
            <w:tcW w:w="840" w:type="dxa"/>
            <w:vAlign w:val="bottom"/>
            <w:tcBorders>
              <w:bottom w:val="single" w:sz="8" w:color="BFBFBF"/>
            </w:tcBorders>
          </w:tcPr>
          <w:p>
            <w:pPr>
              <w:spacing w:after="0"/>
              <w:rPr>
                <w:sz w:val="19"/>
                <w:szCs w:val="19"/>
                <w:color w:val="auto"/>
              </w:rPr>
            </w:pPr>
          </w:p>
        </w:tc>
        <w:tc>
          <w:tcPr>
            <w:tcW w:w="6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8240" w:type="dxa"/>
            <w:vAlign w:val="bottom"/>
            <w:tcBorders>
              <w:bottom w:val="single" w:sz="8" w:color="384348"/>
            </w:tcBorders>
          </w:tcPr>
          <w:p>
            <w:pPr>
              <w:ind w:left="20"/>
              <w:spacing w:after="0" w:line="223" w:lineRule="exact"/>
              <w:rPr>
                <w:sz w:val="20"/>
                <w:szCs w:val="20"/>
                <w:color w:val="auto"/>
              </w:rPr>
            </w:pPr>
            <w:r>
              <w:rPr>
                <w:rFonts w:ascii="Arial" w:cs="Arial" w:eastAsia="Arial" w:hAnsi="Arial"/>
                <w:sz w:val="18"/>
                <w:szCs w:val="18"/>
                <w:color w:val="auto"/>
              </w:rPr>
              <w:t>Other, net</w:t>
            </w:r>
            <w:r>
              <w:rPr>
                <w:rFonts w:ascii="Arial" w:cs="Arial" w:eastAsia="Arial" w:hAnsi="Arial"/>
                <w:sz w:val="23"/>
                <w:szCs w:val="23"/>
                <w:color w:val="auto"/>
                <w:vertAlign w:val="superscript"/>
              </w:rPr>
              <w:t>(6)</w:t>
            </w:r>
          </w:p>
        </w:tc>
        <w:tc>
          <w:tcPr>
            <w:tcW w:w="460" w:type="dxa"/>
            <w:vAlign w:val="bottom"/>
            <w:tcBorders>
              <w:bottom w:val="single" w:sz="8" w:color="384348"/>
            </w:tcBorders>
          </w:tcPr>
          <w:p>
            <w:pPr>
              <w:spacing w:after="0"/>
              <w:rPr>
                <w:sz w:val="19"/>
                <w:szCs w:val="19"/>
                <w:color w:val="auto"/>
              </w:rPr>
            </w:pPr>
          </w:p>
        </w:tc>
        <w:tc>
          <w:tcPr>
            <w:tcW w:w="104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color w:val="auto"/>
              </w:rPr>
              <w:t>2</w:t>
            </w:r>
          </w:p>
        </w:tc>
        <w:tc>
          <w:tcPr>
            <w:tcW w:w="840" w:type="dxa"/>
            <w:vAlign w:val="bottom"/>
            <w:tcBorders>
              <w:bottom w:val="single" w:sz="8" w:color="384348"/>
            </w:tcBorders>
          </w:tcPr>
          <w:p>
            <w:pPr>
              <w:spacing w:after="0"/>
              <w:rPr>
                <w:sz w:val="19"/>
                <w:szCs w:val="19"/>
                <w:color w:val="auto"/>
              </w:rPr>
            </w:pPr>
          </w:p>
        </w:tc>
        <w:tc>
          <w:tcPr>
            <w:tcW w:w="640" w:type="dxa"/>
            <w:vAlign w:val="bottom"/>
            <w:tcBorders>
              <w:bottom w:val="single" w:sz="8" w:color="384348"/>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824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Total Segment Profit/Adjusted EBIT</w:t>
            </w:r>
          </w:p>
        </w:tc>
        <w:tc>
          <w:tcPr>
            <w:tcW w:w="460" w:type="dxa"/>
            <w:vAlign w:val="bottom"/>
            <w:tcBorders>
              <w:bottom w:val="single" w:sz="8" w:color="384348"/>
            </w:tcBorders>
          </w:tcPr>
          <w:p>
            <w:pPr>
              <w:jc w:val="right"/>
              <w:ind w:right="256"/>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384348"/>
            </w:tcBorders>
          </w:tcPr>
          <w:p>
            <w:pPr>
              <w:jc w:val="right"/>
              <w:ind w:right="32"/>
              <w:spacing w:after="0"/>
              <w:rPr>
                <w:sz w:val="20"/>
                <w:szCs w:val="20"/>
                <w:color w:val="auto"/>
              </w:rPr>
            </w:pPr>
            <w:r>
              <w:rPr>
                <w:rFonts w:ascii="Arial" w:cs="Arial" w:eastAsia="Arial" w:hAnsi="Arial"/>
                <w:sz w:val="18"/>
                <w:szCs w:val="18"/>
                <w:b w:val="1"/>
                <w:bCs w:val="1"/>
                <w:color w:val="auto"/>
              </w:rPr>
              <w:t>1,161</w:t>
            </w:r>
          </w:p>
        </w:tc>
        <w:tc>
          <w:tcPr>
            <w:tcW w:w="840" w:type="dxa"/>
            <w:vAlign w:val="bottom"/>
            <w:tcBorders>
              <w:bottom w:val="single" w:sz="8" w:color="384348"/>
            </w:tcBorders>
          </w:tcPr>
          <w:p>
            <w:pPr>
              <w:jc w:val="right"/>
              <w:ind w:right="596"/>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rPr>
              <w:t>1,151</w:t>
            </w:r>
          </w:p>
        </w:tc>
      </w:tr>
    </w:tbl>
    <w:p>
      <w:pPr>
        <w:spacing w:after="0" w:line="8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included in Cost of products and services sold and Selling, general and administrative.</w:t>
      </w:r>
    </w:p>
    <w:p>
      <w:pPr>
        <w:spacing w:after="0" w:line="1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included in Selling, general and administrative expenses.</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included in Cost of products and services sold and Other (income) expense, net.</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included in Selling, general and administrative expenses and Other (income) expense, net.</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included in Cost of products and services sold, Selling, general and administrative, Research and development, and Other (income) expense, net.</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include repositioning and other charges.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define Total segment profit as Net income excluding taxes, interest, amortization of acquisition-related intangibles, stock compensation expense, environmental expense, pension (income) expense, repositioning and other charges, transaction costs, expenses associated with the Honeywell trademark license, and other items within Other (income) expense, net. We define adjusted EBIT as Net income excluding taxes, excluding interest, amortization-related intangibles, stock compensation expense, environmental expense, pension (income) expense, repositioning and other charges, transaction costs, expenses associated with the Honeywell trademark license, other items within Other (income) expense, net, and other items that are unusual or non-recurring in nature, including but not limited to impairment charges and litigation charges (e.g., comprehensive settlement related to Flexjet litigation). We believe these measures are useful to investors as they provide greater transparency with respect to supplemental information used by management in its financial and operational decision making, as well as understanding ongoing operating trends.</w:t>
      </w:r>
    </w:p>
    <w:p>
      <w:pPr>
        <w:sectPr>
          <w:pgSz w:w="11900" w:h="16838" w:orient="portrait"/>
          <w:cols w:equalWidth="0" w:num="1">
            <w:col w:w="11240"/>
          </w:cols>
          <w:pgMar w:left="320" w:top="36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Honeywell Aerospace 3Q26 Results - 13</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Honeywell Aerospace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Earnings per Share to Adjusted Earnings per Share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460" w:type="dxa"/>
            <w:vAlign w:val="bottom"/>
          </w:tcPr>
          <w:p>
            <w:pPr>
              <w:spacing w:after="0"/>
              <w:rPr>
                <w:sz w:val="17"/>
                <w:szCs w:val="17"/>
                <w:color w:val="auto"/>
              </w:rPr>
            </w:pPr>
          </w:p>
        </w:tc>
        <w:tc>
          <w:tcPr>
            <w:tcW w:w="140" w:type="dxa"/>
            <w:vAlign w:val="bottom"/>
            <w:tcBorders>
              <w:bottom w:val="single" w:sz="8" w:color="FF4400"/>
            </w:tcBorders>
          </w:tcPr>
          <w:p>
            <w:pPr>
              <w:spacing w:after="0"/>
              <w:rPr>
                <w:sz w:val="17"/>
                <w:szCs w:val="17"/>
                <w:color w:val="auto"/>
              </w:rPr>
            </w:pPr>
          </w:p>
        </w:tc>
        <w:tc>
          <w:tcPr>
            <w:tcW w:w="1620" w:type="dxa"/>
            <w:vAlign w:val="bottom"/>
            <w:tcBorders>
              <w:bottom w:val="single" w:sz="8" w:color="FF4400"/>
            </w:tcBorders>
          </w:tcPr>
          <w:p>
            <w:pPr>
              <w:jc w:val="center"/>
              <w:ind w:right="35"/>
              <w:spacing w:after="0"/>
              <w:rPr>
                <w:sz w:val="20"/>
                <w:szCs w:val="20"/>
                <w:color w:val="auto"/>
              </w:rPr>
            </w:pPr>
            <w:r>
              <w:rPr>
                <w:rFonts w:ascii="Arial" w:cs="Arial" w:eastAsia="Arial" w:hAnsi="Arial"/>
                <w:sz w:val="14"/>
                <w:szCs w:val="14"/>
                <w:b w:val="1"/>
                <w:bCs w:val="1"/>
                <w:color w:val="auto"/>
              </w:rPr>
              <w:t>Three Months Ended</w:t>
            </w:r>
          </w:p>
        </w:tc>
      </w:tr>
      <w:tr>
        <w:trPr>
          <w:trHeight w:val="201"/>
        </w:trPr>
        <w:tc>
          <w:tcPr>
            <w:tcW w:w="9460" w:type="dxa"/>
            <w:vAlign w:val="bottom"/>
            <w:tcBorders>
              <w:bottom w:val="single" w:sz="8" w:color="FF4400"/>
            </w:tcBorders>
          </w:tcPr>
          <w:p>
            <w:pPr>
              <w:spacing w:after="0"/>
              <w:rPr>
                <w:sz w:val="17"/>
                <w:szCs w:val="17"/>
                <w:color w:val="auto"/>
              </w:rPr>
            </w:pPr>
          </w:p>
        </w:tc>
        <w:tc>
          <w:tcPr>
            <w:tcW w:w="140" w:type="dxa"/>
            <w:vAlign w:val="bottom"/>
            <w:tcBorders>
              <w:bottom w:val="single" w:sz="8" w:color="FF4400"/>
            </w:tcBorders>
          </w:tcPr>
          <w:p>
            <w:pPr>
              <w:spacing w:after="0"/>
              <w:rPr>
                <w:sz w:val="17"/>
                <w:szCs w:val="17"/>
                <w:color w:val="auto"/>
              </w:rPr>
            </w:pPr>
          </w:p>
        </w:tc>
        <w:tc>
          <w:tcPr>
            <w:tcW w:w="1620" w:type="dxa"/>
            <w:vAlign w:val="bottom"/>
            <w:tcBorders>
              <w:bottom w:val="single" w:sz="8" w:color="FF4400"/>
            </w:tcBorders>
          </w:tcPr>
          <w:p>
            <w:pPr>
              <w:jc w:val="center"/>
              <w:ind w:right="35"/>
              <w:spacing w:after="0"/>
              <w:rPr>
                <w:sz w:val="20"/>
                <w:szCs w:val="20"/>
                <w:color w:val="auto"/>
              </w:rPr>
            </w:pPr>
            <w:r>
              <w:rPr>
                <w:rFonts w:ascii="Arial" w:cs="Arial" w:eastAsia="Arial" w:hAnsi="Arial"/>
                <w:sz w:val="14"/>
                <w:szCs w:val="14"/>
                <w:b w:val="1"/>
                <w:bCs w:val="1"/>
                <w:color w:val="auto"/>
              </w:rPr>
              <w:t>September 26, 2026</w:t>
            </w:r>
          </w:p>
        </w:tc>
      </w:tr>
      <w:tr>
        <w:trPr>
          <w:trHeight w:val="251"/>
        </w:trPr>
        <w:tc>
          <w:tcPr>
            <w:tcW w:w="9460" w:type="dxa"/>
            <w:vAlign w:val="bottom"/>
            <w:tcBorders>
              <w:bottom w:val="single" w:sz="8" w:color="BFBFBF"/>
            </w:tcBorders>
          </w:tcPr>
          <w:p>
            <w:pPr>
              <w:ind w:left="20"/>
              <w:spacing w:after="0" w:line="251" w:lineRule="exact"/>
              <w:rPr>
                <w:sz w:val="20"/>
                <w:szCs w:val="20"/>
                <w:color w:val="auto"/>
              </w:rPr>
            </w:pPr>
            <w:r>
              <w:rPr>
                <w:rFonts w:ascii="Arial" w:cs="Arial" w:eastAsia="Arial" w:hAnsi="Arial"/>
                <w:sz w:val="18"/>
                <w:szCs w:val="18"/>
                <w:b w:val="1"/>
                <w:bCs w:val="1"/>
                <w:color w:val="auto"/>
              </w:rPr>
              <w:t>Earnings per share of common stock - diluted</w:t>
            </w:r>
            <w:r>
              <w:rPr>
                <w:rFonts w:ascii="Arial" w:cs="Arial" w:eastAsia="Arial" w:hAnsi="Arial"/>
                <w:sz w:val="23"/>
                <w:szCs w:val="23"/>
                <w:b w:val="1"/>
                <w:bCs w:val="1"/>
                <w:color w:val="auto"/>
                <w:vertAlign w:val="superscript"/>
              </w:rPr>
              <w:t>1</w:t>
            </w:r>
          </w:p>
        </w:tc>
        <w:tc>
          <w:tcPr>
            <w:tcW w:w="140" w:type="dxa"/>
            <w:vAlign w:val="bottom"/>
            <w:tcBorders>
              <w:bottom w:val="single" w:sz="8" w:color="BFBFBF"/>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BFBFBF"/>
            </w:tcBorders>
          </w:tcPr>
          <w:p>
            <w:pPr>
              <w:jc w:val="center"/>
              <w:ind w:left="1035"/>
              <w:spacing w:after="0"/>
              <w:rPr>
                <w:sz w:val="20"/>
                <w:szCs w:val="20"/>
                <w:color w:val="auto"/>
              </w:rPr>
            </w:pPr>
            <w:r>
              <w:rPr>
                <w:rFonts w:ascii="Arial" w:cs="Arial" w:eastAsia="Arial" w:hAnsi="Arial"/>
                <w:sz w:val="18"/>
                <w:szCs w:val="18"/>
                <w:b w:val="1"/>
                <w:bCs w:val="1"/>
                <w:color w:val="auto"/>
                <w:w w:val="96"/>
              </w:rPr>
              <w:t>2.29</w:t>
            </w:r>
          </w:p>
        </w:tc>
      </w:tr>
      <w:tr>
        <w:trPr>
          <w:trHeight w:val="250"/>
        </w:trPr>
        <w:tc>
          <w:tcPr>
            <w:tcW w:w="9460" w:type="dxa"/>
            <w:vAlign w:val="bottom"/>
            <w:tcBorders>
              <w:bottom w:val="single" w:sz="8" w:color="BFBFBF"/>
            </w:tcBorders>
          </w:tcPr>
          <w:p>
            <w:pPr>
              <w:ind w:left="20"/>
              <w:spacing w:after="0" w:line="250" w:lineRule="exact"/>
              <w:rPr>
                <w:sz w:val="20"/>
                <w:szCs w:val="20"/>
                <w:color w:val="auto"/>
              </w:rPr>
            </w:pPr>
            <w:r>
              <w:rPr>
                <w:rFonts w:ascii="Arial" w:cs="Arial" w:eastAsia="Arial" w:hAnsi="Arial"/>
                <w:sz w:val="18"/>
                <w:szCs w:val="18"/>
                <w:color w:val="auto"/>
              </w:rPr>
              <w:t>Amortization of acquisition-related intangibles</w:t>
            </w:r>
            <w:r>
              <w:rPr>
                <w:rFonts w:ascii="Arial" w:cs="Arial" w:eastAsia="Arial" w:hAnsi="Arial"/>
                <w:sz w:val="23"/>
                <w:szCs w:val="23"/>
                <w:color w:val="auto"/>
                <w:vertAlign w:val="superscript"/>
              </w:rPr>
              <w:t>2</w:t>
            </w:r>
          </w:p>
        </w:tc>
        <w:tc>
          <w:tcPr>
            <w:tcW w:w="140" w:type="dxa"/>
            <w:vAlign w:val="bottom"/>
            <w:tcBorders>
              <w:bottom w:val="single" w:sz="8" w:color="BFBFBF"/>
            </w:tcBorders>
          </w:tcPr>
          <w:p>
            <w:pPr>
              <w:spacing w:after="0"/>
              <w:rPr>
                <w:sz w:val="21"/>
                <w:szCs w:val="21"/>
                <w:color w:val="auto"/>
              </w:rPr>
            </w:pPr>
          </w:p>
        </w:tc>
        <w:tc>
          <w:tcPr>
            <w:tcW w:w="1620" w:type="dxa"/>
            <w:vAlign w:val="bottom"/>
            <w:tcBorders>
              <w:bottom w:val="single" w:sz="8" w:color="BFBFBF"/>
            </w:tcBorders>
          </w:tcPr>
          <w:p>
            <w:pPr>
              <w:jc w:val="center"/>
              <w:ind w:left="1035"/>
              <w:spacing w:after="0"/>
              <w:rPr>
                <w:sz w:val="20"/>
                <w:szCs w:val="20"/>
                <w:color w:val="auto"/>
              </w:rPr>
            </w:pPr>
            <w:r>
              <w:rPr>
                <w:rFonts w:ascii="Arial" w:cs="Arial" w:eastAsia="Arial" w:hAnsi="Arial"/>
                <w:sz w:val="18"/>
                <w:szCs w:val="18"/>
                <w:color w:val="auto"/>
                <w:w w:val="96"/>
              </w:rPr>
              <w:t>0.06</w:t>
            </w:r>
          </w:p>
        </w:tc>
      </w:tr>
      <w:tr>
        <w:trPr>
          <w:trHeight w:val="250"/>
        </w:trPr>
        <w:tc>
          <w:tcPr>
            <w:tcW w:w="9460" w:type="dxa"/>
            <w:vAlign w:val="bottom"/>
            <w:tcBorders>
              <w:bottom w:val="single" w:sz="8" w:color="BFBFBF"/>
            </w:tcBorders>
          </w:tcPr>
          <w:p>
            <w:pPr>
              <w:ind w:left="20"/>
              <w:spacing w:after="0" w:line="250" w:lineRule="exact"/>
              <w:rPr>
                <w:sz w:val="20"/>
                <w:szCs w:val="20"/>
                <w:color w:val="auto"/>
              </w:rPr>
            </w:pPr>
            <w:r>
              <w:rPr>
                <w:rFonts w:ascii="Arial" w:cs="Arial" w:eastAsia="Arial" w:hAnsi="Arial"/>
                <w:sz w:val="18"/>
                <w:szCs w:val="18"/>
                <w:color w:val="auto"/>
              </w:rPr>
              <w:t>Transaction costs</w:t>
            </w:r>
            <w:r>
              <w:rPr>
                <w:rFonts w:ascii="Arial" w:cs="Arial" w:eastAsia="Arial" w:hAnsi="Arial"/>
                <w:sz w:val="23"/>
                <w:szCs w:val="23"/>
                <w:color w:val="auto"/>
                <w:vertAlign w:val="superscript"/>
              </w:rPr>
              <w:t>3</w:t>
            </w:r>
          </w:p>
        </w:tc>
        <w:tc>
          <w:tcPr>
            <w:tcW w:w="140" w:type="dxa"/>
            <w:vAlign w:val="bottom"/>
            <w:tcBorders>
              <w:bottom w:val="single" w:sz="8" w:color="BFBFBF"/>
            </w:tcBorders>
          </w:tcPr>
          <w:p>
            <w:pPr>
              <w:spacing w:after="0"/>
              <w:rPr>
                <w:sz w:val="21"/>
                <w:szCs w:val="21"/>
                <w:color w:val="auto"/>
              </w:rPr>
            </w:pPr>
          </w:p>
        </w:tc>
        <w:tc>
          <w:tcPr>
            <w:tcW w:w="1620" w:type="dxa"/>
            <w:vAlign w:val="bottom"/>
            <w:tcBorders>
              <w:bottom w:val="single" w:sz="8" w:color="BFBFBF"/>
            </w:tcBorders>
          </w:tcPr>
          <w:p>
            <w:pPr>
              <w:jc w:val="center"/>
              <w:ind w:left="1035"/>
              <w:spacing w:after="0"/>
              <w:rPr>
                <w:sz w:val="20"/>
                <w:szCs w:val="20"/>
                <w:color w:val="auto"/>
              </w:rPr>
            </w:pPr>
            <w:r>
              <w:rPr>
                <w:rFonts w:ascii="Arial" w:cs="Arial" w:eastAsia="Arial" w:hAnsi="Arial"/>
                <w:sz w:val="18"/>
                <w:szCs w:val="18"/>
                <w:color w:val="auto"/>
                <w:w w:val="96"/>
              </w:rPr>
              <w:t>0.04</w:t>
            </w:r>
          </w:p>
        </w:tc>
      </w:tr>
      <w:tr>
        <w:trPr>
          <w:trHeight w:val="250"/>
        </w:trPr>
        <w:tc>
          <w:tcPr>
            <w:tcW w:w="9460" w:type="dxa"/>
            <w:vAlign w:val="bottom"/>
            <w:tcBorders>
              <w:bottom w:val="single" w:sz="8" w:color="384348"/>
            </w:tcBorders>
          </w:tcPr>
          <w:p>
            <w:pPr>
              <w:ind w:left="20"/>
              <w:spacing w:after="0" w:line="250" w:lineRule="exact"/>
              <w:rPr>
                <w:sz w:val="20"/>
                <w:szCs w:val="20"/>
                <w:color w:val="auto"/>
              </w:rPr>
            </w:pPr>
            <w:r>
              <w:rPr>
                <w:rFonts w:ascii="Arial" w:cs="Arial" w:eastAsia="Arial" w:hAnsi="Arial"/>
                <w:sz w:val="18"/>
                <w:szCs w:val="18"/>
                <w:color w:val="auto"/>
              </w:rPr>
              <w:t>Pension income</w:t>
            </w:r>
            <w:r>
              <w:rPr>
                <w:rFonts w:ascii="Arial" w:cs="Arial" w:eastAsia="Arial" w:hAnsi="Arial"/>
                <w:sz w:val="23"/>
                <w:szCs w:val="23"/>
                <w:color w:val="auto"/>
                <w:vertAlign w:val="superscript"/>
              </w:rPr>
              <w:t>4</w:t>
            </w:r>
          </w:p>
        </w:tc>
        <w:tc>
          <w:tcPr>
            <w:tcW w:w="140" w:type="dxa"/>
            <w:vAlign w:val="bottom"/>
            <w:tcBorders>
              <w:bottom w:val="single" w:sz="8" w:color="384348"/>
            </w:tcBorders>
          </w:tcPr>
          <w:p>
            <w:pPr>
              <w:spacing w:after="0"/>
              <w:rPr>
                <w:sz w:val="21"/>
                <w:szCs w:val="21"/>
                <w:color w:val="auto"/>
              </w:rPr>
            </w:pPr>
          </w:p>
        </w:tc>
        <w:tc>
          <w:tcPr>
            <w:tcW w:w="1620" w:type="dxa"/>
            <w:vAlign w:val="bottom"/>
            <w:tcBorders>
              <w:bottom w:val="single" w:sz="8" w:color="384348"/>
            </w:tcBorders>
          </w:tcPr>
          <w:p>
            <w:pPr>
              <w:jc w:val="center"/>
              <w:ind w:left="1015"/>
              <w:spacing w:after="0"/>
              <w:rPr>
                <w:sz w:val="20"/>
                <w:szCs w:val="20"/>
                <w:color w:val="auto"/>
              </w:rPr>
            </w:pPr>
            <w:r>
              <w:rPr>
                <w:rFonts w:ascii="Arial" w:cs="Arial" w:eastAsia="Arial" w:hAnsi="Arial"/>
                <w:sz w:val="18"/>
                <w:szCs w:val="18"/>
                <w:color w:val="auto"/>
              </w:rPr>
              <w:t>(0.18)</w:t>
            </w:r>
          </w:p>
        </w:tc>
      </w:tr>
      <w:tr>
        <w:trPr>
          <w:trHeight w:val="250"/>
        </w:trPr>
        <w:tc>
          <w:tcPr>
            <w:tcW w:w="946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Adjusted earnings per share of common stock - diluted</w:t>
            </w:r>
          </w:p>
        </w:tc>
        <w:tc>
          <w:tcPr>
            <w:tcW w:w="14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384348"/>
            </w:tcBorders>
          </w:tcPr>
          <w:p>
            <w:pPr>
              <w:jc w:val="center"/>
              <w:ind w:left="1035"/>
              <w:spacing w:after="0"/>
              <w:rPr>
                <w:sz w:val="20"/>
                <w:szCs w:val="20"/>
                <w:color w:val="auto"/>
              </w:rPr>
            </w:pPr>
            <w:r>
              <w:rPr>
                <w:rFonts w:ascii="Arial" w:cs="Arial" w:eastAsia="Arial" w:hAnsi="Arial"/>
                <w:sz w:val="18"/>
                <w:szCs w:val="18"/>
                <w:b w:val="1"/>
                <w:bCs w:val="1"/>
                <w:color w:val="auto"/>
                <w:w w:val="96"/>
              </w:rPr>
              <w:t>2.21</w:t>
            </w:r>
          </w:p>
        </w:tc>
      </w:tr>
    </w:tbl>
    <w:p>
      <w:pPr>
        <w:spacing w:after="0" w:line="32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the three months ended September 26, 2026, adjusted earnings per share utilizes weighted average shares of 317.7 million.</w:t>
      </w:r>
    </w:p>
    <w:p>
      <w:pPr>
        <w:spacing w:after="0" w:line="1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the three months ended September 26, 2026, acquisition-related intangibles amortization was $21 million, net of tax benefit of $7 million.</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the three months ended September 26, 2026, transaction related costs were $14 million, net of tax benefit of $4 million.</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the three months ended September 26, 2026, pension income was $58 million, net of tax expense of $18 million.</w:t>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define adjusted earnings per share as diluted earnings per share adjusted to exclude various charges as listed above. We believe adjusted earnings per share is a measure that is useful to investors and management in understanding our ongoing operations and in analysis of ongoing operating trends.</w:t>
      </w:r>
    </w:p>
    <w:p>
      <w:pPr>
        <w:sectPr>
          <w:pgSz w:w="11900" w:h="16838" w:orient="portrait"/>
          <w:cols w:equalWidth="0" w:num="1">
            <w:col w:w="11240"/>
          </w:cols>
          <w:pgMar w:left="320" w:top="36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Honeywell Aerospace 3Q26 Results - 14</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Honeywell Aerospace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Cash Provided by Operating Activities to Free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80" w:type="dxa"/>
            <w:vAlign w:val="bottom"/>
          </w:tcPr>
          <w:p>
            <w:pPr>
              <w:spacing w:after="0"/>
              <w:rPr>
                <w:sz w:val="17"/>
                <w:szCs w:val="17"/>
                <w:color w:val="auto"/>
              </w:rPr>
            </w:pPr>
          </w:p>
        </w:tc>
        <w:tc>
          <w:tcPr>
            <w:tcW w:w="180" w:type="dxa"/>
            <w:vAlign w:val="bottom"/>
            <w:tcBorders>
              <w:bottom w:val="single" w:sz="8" w:color="FF4400"/>
            </w:tcBorders>
          </w:tcPr>
          <w:p>
            <w:pPr>
              <w:spacing w:after="0"/>
              <w:rPr>
                <w:sz w:val="17"/>
                <w:szCs w:val="17"/>
                <w:color w:val="auto"/>
              </w:rPr>
            </w:pPr>
          </w:p>
        </w:tc>
        <w:tc>
          <w:tcPr>
            <w:tcW w:w="1760" w:type="dxa"/>
            <w:vAlign w:val="bottom"/>
            <w:tcBorders>
              <w:bottom w:val="single" w:sz="8" w:color="FF4400"/>
            </w:tcBorders>
          </w:tcPr>
          <w:p>
            <w:pPr>
              <w:jc w:val="center"/>
              <w:ind w:right="97"/>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9280" w:type="dxa"/>
            <w:vAlign w:val="bottom"/>
            <w:tcBorders>
              <w:bottom w:val="single" w:sz="8" w:color="FF4400"/>
            </w:tcBorders>
          </w:tcPr>
          <w:p>
            <w:pPr>
              <w:spacing w:after="0"/>
              <w:rPr>
                <w:sz w:val="17"/>
                <w:szCs w:val="17"/>
                <w:color w:val="auto"/>
              </w:rPr>
            </w:pPr>
          </w:p>
        </w:tc>
        <w:tc>
          <w:tcPr>
            <w:tcW w:w="180" w:type="dxa"/>
            <w:vAlign w:val="bottom"/>
            <w:tcBorders>
              <w:bottom w:val="single" w:sz="8" w:color="FF4400"/>
            </w:tcBorders>
          </w:tcPr>
          <w:p>
            <w:pPr>
              <w:spacing w:after="0"/>
              <w:rPr>
                <w:sz w:val="17"/>
                <w:szCs w:val="17"/>
                <w:color w:val="auto"/>
              </w:rPr>
            </w:pPr>
          </w:p>
        </w:tc>
        <w:tc>
          <w:tcPr>
            <w:tcW w:w="1760" w:type="dxa"/>
            <w:vAlign w:val="bottom"/>
            <w:tcBorders>
              <w:bottom w:val="single" w:sz="8" w:color="FF4400"/>
            </w:tcBorders>
          </w:tcPr>
          <w:p>
            <w:pPr>
              <w:jc w:val="center"/>
              <w:ind w:right="97"/>
              <w:spacing w:after="0"/>
              <w:rPr>
                <w:sz w:val="20"/>
                <w:szCs w:val="20"/>
                <w:color w:val="auto"/>
              </w:rPr>
            </w:pPr>
            <w:r>
              <w:rPr>
                <w:rFonts w:ascii="Arial" w:cs="Arial" w:eastAsia="Arial" w:hAnsi="Arial"/>
                <w:sz w:val="14"/>
                <w:szCs w:val="14"/>
                <w:b w:val="1"/>
                <w:bCs w:val="1"/>
                <w:color w:val="auto"/>
              </w:rPr>
              <w:t>September 26, 2026</w:t>
            </w:r>
          </w:p>
        </w:tc>
      </w:tr>
      <w:tr>
        <w:trPr>
          <w:trHeight w:val="224"/>
        </w:trPr>
        <w:tc>
          <w:tcPr>
            <w:tcW w:w="9280" w:type="dxa"/>
            <w:vAlign w:val="bottom"/>
            <w:tcBorders>
              <w:bottom w:val="single" w:sz="8" w:color="BFBFBF"/>
            </w:tcBorders>
          </w:tcPr>
          <w:p>
            <w:pPr>
              <w:ind w:left="20"/>
              <w:spacing w:after="0"/>
              <w:rPr>
                <w:sz w:val="20"/>
                <w:szCs w:val="20"/>
                <w:color w:val="auto"/>
              </w:rPr>
            </w:pPr>
            <w:r>
              <w:rPr>
                <w:rFonts w:ascii="Arial" w:cs="Arial" w:eastAsia="Arial" w:hAnsi="Arial"/>
                <w:sz w:val="18"/>
                <w:szCs w:val="18"/>
                <w:b w:val="1"/>
                <w:bCs w:val="1"/>
                <w:color w:val="auto"/>
              </w:rPr>
              <w:t>Cash provided by operating activities</w:t>
            </w:r>
          </w:p>
        </w:tc>
        <w:tc>
          <w:tcPr>
            <w:tcW w:w="180" w:type="dxa"/>
            <w:vAlign w:val="bottom"/>
            <w:tcBorders>
              <w:bottom w:val="single" w:sz="8" w:color="BFBFBF"/>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bottom w:val="single" w:sz="8" w:color="BFBFBF"/>
            </w:tcBorders>
          </w:tcPr>
          <w:p>
            <w:pPr>
              <w:jc w:val="center"/>
              <w:ind w:left="1217"/>
              <w:spacing w:after="0"/>
              <w:rPr>
                <w:sz w:val="20"/>
                <w:szCs w:val="20"/>
                <w:color w:val="auto"/>
              </w:rPr>
            </w:pPr>
            <w:r>
              <w:rPr>
                <w:rFonts w:ascii="Arial" w:cs="Arial" w:eastAsia="Arial" w:hAnsi="Arial"/>
                <w:sz w:val="18"/>
                <w:szCs w:val="18"/>
                <w:b w:val="1"/>
                <w:bCs w:val="1"/>
                <w:color w:val="auto"/>
                <w:w w:val="99"/>
              </w:rPr>
              <w:t>668</w:t>
            </w:r>
          </w:p>
        </w:tc>
      </w:tr>
      <w:tr>
        <w:trPr>
          <w:trHeight w:val="223"/>
        </w:trPr>
        <w:tc>
          <w:tcPr>
            <w:tcW w:w="9280" w:type="dxa"/>
            <w:vAlign w:val="bottom"/>
            <w:tcBorders>
              <w:bottom w:val="single" w:sz="8" w:color="384348"/>
            </w:tcBorders>
          </w:tcPr>
          <w:p>
            <w:pPr>
              <w:ind w:left="20"/>
              <w:spacing w:after="0"/>
              <w:rPr>
                <w:sz w:val="20"/>
                <w:szCs w:val="20"/>
                <w:color w:val="auto"/>
              </w:rPr>
            </w:pPr>
            <w:r>
              <w:rPr>
                <w:rFonts w:ascii="Arial" w:cs="Arial" w:eastAsia="Arial" w:hAnsi="Arial"/>
                <w:sz w:val="18"/>
                <w:szCs w:val="18"/>
                <w:color w:val="auto"/>
              </w:rPr>
              <w:t>Capital expenditures</w:t>
            </w:r>
          </w:p>
        </w:tc>
        <w:tc>
          <w:tcPr>
            <w:tcW w:w="180" w:type="dxa"/>
            <w:vAlign w:val="bottom"/>
            <w:tcBorders>
              <w:bottom w:val="single" w:sz="8" w:color="384348"/>
            </w:tcBorders>
          </w:tcPr>
          <w:p>
            <w:pPr>
              <w:spacing w:after="0"/>
              <w:rPr>
                <w:sz w:val="19"/>
                <w:szCs w:val="19"/>
                <w:color w:val="auto"/>
              </w:rPr>
            </w:pPr>
          </w:p>
        </w:tc>
        <w:tc>
          <w:tcPr>
            <w:tcW w:w="1760" w:type="dxa"/>
            <w:vAlign w:val="bottom"/>
            <w:tcBorders>
              <w:bottom w:val="single" w:sz="8" w:color="384348"/>
            </w:tcBorders>
          </w:tcPr>
          <w:p>
            <w:pPr>
              <w:jc w:val="center"/>
              <w:ind w:left="1217"/>
              <w:spacing w:after="0"/>
              <w:rPr>
                <w:sz w:val="20"/>
                <w:szCs w:val="20"/>
                <w:color w:val="auto"/>
              </w:rPr>
            </w:pPr>
            <w:r>
              <w:rPr>
                <w:rFonts w:ascii="Arial" w:cs="Arial" w:eastAsia="Arial" w:hAnsi="Arial"/>
                <w:sz w:val="18"/>
                <w:szCs w:val="18"/>
                <w:color w:val="auto"/>
                <w:w w:val="99"/>
              </w:rPr>
              <w:t>(168)</w:t>
            </w:r>
          </w:p>
        </w:tc>
      </w:tr>
      <w:tr>
        <w:trPr>
          <w:trHeight w:val="223"/>
        </w:trPr>
        <w:tc>
          <w:tcPr>
            <w:tcW w:w="9280" w:type="dxa"/>
            <w:vAlign w:val="bottom"/>
            <w:tcBorders>
              <w:bottom w:val="single" w:sz="8" w:color="384348"/>
            </w:tcBorders>
          </w:tcPr>
          <w:p>
            <w:pPr>
              <w:ind w:left="20"/>
              <w:spacing w:after="0"/>
              <w:rPr>
                <w:sz w:val="20"/>
                <w:szCs w:val="20"/>
                <w:color w:val="auto"/>
              </w:rPr>
            </w:pPr>
            <w:r>
              <w:rPr>
                <w:rFonts w:ascii="Arial" w:cs="Arial" w:eastAsia="Arial" w:hAnsi="Arial"/>
                <w:sz w:val="18"/>
                <w:szCs w:val="18"/>
                <w:b w:val="1"/>
                <w:bCs w:val="1"/>
                <w:color w:val="auto"/>
              </w:rPr>
              <w:t>Free cash flow</w:t>
            </w:r>
          </w:p>
        </w:tc>
        <w:tc>
          <w:tcPr>
            <w:tcW w:w="180" w:type="dxa"/>
            <w:vAlign w:val="bottom"/>
            <w:tcBorders>
              <w:bottom w:val="single" w:sz="8" w:color="384348"/>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bottom w:val="single" w:sz="8" w:color="384348"/>
            </w:tcBorders>
          </w:tcPr>
          <w:p>
            <w:pPr>
              <w:jc w:val="center"/>
              <w:ind w:left="1217"/>
              <w:spacing w:after="0"/>
              <w:rPr>
                <w:sz w:val="20"/>
                <w:szCs w:val="20"/>
                <w:color w:val="auto"/>
              </w:rPr>
            </w:pPr>
            <w:r>
              <w:rPr>
                <w:rFonts w:ascii="Arial" w:cs="Arial" w:eastAsia="Arial" w:hAnsi="Arial"/>
                <w:sz w:val="18"/>
                <w:szCs w:val="18"/>
                <w:b w:val="1"/>
                <w:bCs w:val="1"/>
                <w:color w:val="auto"/>
                <w:w w:val="99"/>
              </w:rPr>
              <w:t>500</w:t>
            </w: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define free cash flow as cash provided by operating activities less cash for capital expenditures and excluding the cash payments for settlement of Flexjet-related litigation matters.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this measure is useful to investors and management as a measure of cash generated by operations that will be used to repay scheduled debt maturities and can be used to invest in future growth through new business development activities or acquisitions, pay dividends, repurchase stock, or repay debt obligations prior to their maturities. This measure can also be used to evaluate our ability to generate cash flow from operations and the impact that this cash flow has on our liquidity.</w:t>
      </w:r>
    </w:p>
    <w:p>
      <w:pPr>
        <w:sectPr>
          <w:pgSz w:w="11900" w:h="16838" w:orient="portrait"/>
          <w:cols w:equalWidth="0" w:num="1">
            <w:col w:w="11240"/>
          </w:cols>
          <w:pgMar w:left="320" w:top="364"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166370</wp:posOffset>
            </wp:positionV>
            <wp:extent cx="2057400" cy="436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5740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Contacts:</w:t>
      </w:r>
    </w:p>
    <w:p>
      <w:pPr>
        <w:spacing w:after="0" w:line="30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Media</w:t>
      </w:r>
    </w:p>
    <w:p>
      <w:pPr>
        <w:spacing w:after="0" w:line="198" w:lineRule="exact"/>
        <w:rPr>
          <w:sz w:val="20"/>
          <w:szCs w:val="20"/>
          <w:color w:val="auto"/>
        </w:rPr>
      </w:pPr>
    </w:p>
    <w:p>
      <w:pPr>
        <w:ind w:left="80"/>
        <w:spacing w:after="0"/>
        <w:rPr>
          <w:sz w:val="20"/>
          <w:szCs w:val="20"/>
          <w:color w:val="auto"/>
        </w:rPr>
      </w:pPr>
      <w:r>
        <w:rPr>
          <w:rFonts w:ascii="Arial" w:cs="Arial" w:eastAsia="Arial" w:hAnsi="Arial"/>
          <w:sz w:val="18"/>
          <w:szCs w:val="18"/>
          <w:color w:val="auto"/>
        </w:rPr>
        <w:t>Adam Kress</w:t>
      </w:r>
    </w:p>
    <w:p>
      <w:pPr>
        <w:spacing w:after="0" w:line="198" w:lineRule="exact"/>
        <w:rPr>
          <w:sz w:val="20"/>
          <w:szCs w:val="20"/>
          <w:color w:val="auto"/>
        </w:rPr>
      </w:pPr>
    </w:p>
    <w:p>
      <w:pPr>
        <w:ind w:left="80" w:right="8020" w:firstLine="6"/>
        <w:spacing w:after="0" w:line="506" w:lineRule="auto"/>
        <w:tabs>
          <w:tab w:leader="none" w:pos="5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760-6252 </w:t>
      </w:r>
      <w:r>
        <w:rPr>
          <w:rFonts w:ascii="Arial" w:cs="Arial" w:eastAsia="Arial" w:hAnsi="Arial"/>
          <w:sz w:val="18"/>
          <w:szCs w:val="18"/>
          <w:u w:val="single" w:color="auto"/>
          <w:color w:val="auto"/>
        </w:rPr>
        <w:t>Adam.Kress@honeywellaerospace.com</w:t>
      </w:r>
    </w:p>
    <w:p>
      <w:pPr>
        <w:spacing w:after="0" w:line="200" w:lineRule="exact"/>
        <w:rPr>
          <w:sz w:val="20"/>
          <w:szCs w:val="20"/>
          <w:color w:val="auto"/>
        </w:rPr>
      </w:pPr>
    </w:p>
    <w:p>
      <w:pPr>
        <w:spacing w:after="0" w:line="204" w:lineRule="exact"/>
        <w:rPr>
          <w:sz w:val="20"/>
          <w:szCs w:val="20"/>
          <w:color w:val="auto"/>
        </w:rPr>
      </w:pPr>
    </w:p>
    <w:p>
      <w:pPr>
        <w:jc w:val="center"/>
        <w:ind w:left="320" w:right="480"/>
        <w:spacing w:after="0" w:line="298" w:lineRule="auto"/>
        <w:rPr>
          <w:sz w:val="20"/>
          <w:szCs w:val="20"/>
          <w:color w:val="auto"/>
        </w:rPr>
      </w:pPr>
      <w:r>
        <w:rPr>
          <w:rFonts w:ascii="Arial" w:cs="Arial" w:eastAsia="Arial" w:hAnsi="Arial"/>
          <w:sz w:val="25"/>
          <w:szCs w:val="25"/>
          <w:b w:val="1"/>
          <w:bCs w:val="1"/>
          <w:color w:val="auto"/>
        </w:rPr>
        <w:t>Honeywell Aerospace to build new state-of-the-art manufacturing facility in Arizona to support growing commercial and defense demand</w:t>
      </w:r>
    </w:p>
    <w:p>
      <w:pPr>
        <w:spacing w:after="0" w:line="135" w:lineRule="exact"/>
        <w:rPr>
          <w:sz w:val="20"/>
          <w:szCs w:val="20"/>
          <w:color w:val="auto"/>
        </w:rPr>
      </w:pPr>
    </w:p>
    <w:p>
      <w:pPr>
        <w:ind w:left="2980" w:right="260" w:hanging="2966"/>
        <w:spacing w:after="0" w:line="285" w:lineRule="auto"/>
        <w:rPr>
          <w:sz w:val="20"/>
          <w:szCs w:val="20"/>
          <w:color w:val="auto"/>
        </w:rPr>
      </w:pPr>
      <w:r>
        <w:rPr>
          <w:rFonts w:ascii="Arial" w:cs="Arial" w:eastAsia="Arial" w:hAnsi="Arial"/>
          <w:sz w:val="22"/>
          <w:szCs w:val="22"/>
          <w:i w:val="1"/>
          <w:iCs w:val="1"/>
          <w:color w:val="303030"/>
        </w:rPr>
        <w:t>New facility planned for Tempe campus will create approximately 600 jobs, and support current and next-generation aviation technologies and high-priority defense programs</w:t>
      </w:r>
    </w:p>
    <w:p>
      <w:pPr>
        <w:spacing w:after="0" w:line="163" w:lineRule="exact"/>
        <w:rPr>
          <w:sz w:val="20"/>
          <w:szCs w:val="20"/>
          <w:color w:val="auto"/>
        </w:rPr>
      </w:pPr>
    </w:p>
    <w:p>
      <w:pPr>
        <w:jc w:val="both"/>
        <w:ind w:left="60" w:right="20"/>
        <w:spacing w:after="0" w:line="287" w:lineRule="auto"/>
        <w:rPr>
          <w:sz w:val="20"/>
          <w:szCs w:val="20"/>
          <w:color w:val="auto"/>
        </w:rPr>
      </w:pPr>
      <w:r>
        <w:rPr>
          <w:rFonts w:ascii="Arial" w:cs="Arial" w:eastAsia="Arial" w:hAnsi="Arial"/>
          <w:sz w:val="18"/>
          <w:szCs w:val="18"/>
          <w:b w:val="1"/>
          <w:bCs w:val="1"/>
          <w:color w:val="auto"/>
        </w:rPr>
        <w:t xml:space="preserve">PHOENIX, October 28, 2026 – </w:t>
      </w:r>
      <w:r>
        <w:rPr>
          <w:rFonts w:ascii="Arial" w:cs="Arial" w:eastAsia="Arial" w:hAnsi="Arial"/>
          <w:sz w:val="18"/>
          <w:szCs w:val="18"/>
          <w:color w:val="auto"/>
        </w:rPr>
        <w:t>Honeywell Aerospace</w:t>
      </w:r>
      <w:r>
        <w:rPr>
          <w:rFonts w:ascii="Arial" w:cs="Arial" w:eastAsia="Arial" w:hAnsi="Arial"/>
          <w:sz w:val="18"/>
          <w:szCs w:val="18"/>
          <w:b w:val="1"/>
          <w:bCs w:val="1"/>
          <w:color w:val="auto"/>
        </w:rPr>
        <w:t xml:space="preserve"> (NASDAQ: HONA) </w:t>
      </w:r>
      <w:r>
        <w:rPr>
          <w:rFonts w:ascii="Arial" w:cs="Arial" w:eastAsia="Arial" w:hAnsi="Arial"/>
          <w:sz w:val="18"/>
          <w:szCs w:val="18"/>
          <w:color w:val="auto"/>
        </w:rPr>
        <w:t>today announced a major expansion of its manufacturing facilities,</w:t>
      </w:r>
      <w:r>
        <w:rPr>
          <w:rFonts w:ascii="Arial" w:cs="Arial" w:eastAsia="Arial" w:hAnsi="Arial"/>
          <w:sz w:val="18"/>
          <w:szCs w:val="18"/>
          <w:b w:val="1"/>
          <w:bCs w:val="1"/>
          <w:color w:val="auto"/>
        </w:rPr>
        <w:t xml:space="preserve"> </w:t>
      </w:r>
      <w:r>
        <w:rPr>
          <w:rFonts w:ascii="Arial" w:cs="Arial" w:eastAsia="Arial" w:hAnsi="Arial"/>
          <w:sz w:val="18"/>
          <w:szCs w:val="18"/>
          <w:color w:val="auto"/>
        </w:rPr>
        <w:t>strengthening the company's ability to meet growing demand across current and next-generation commercial aviation and defense programs.</w:t>
      </w:r>
    </w:p>
    <w:p>
      <w:pPr>
        <w:spacing w:after="0" w:line="180" w:lineRule="exact"/>
        <w:rPr>
          <w:sz w:val="20"/>
          <w:szCs w:val="20"/>
          <w:color w:val="auto"/>
        </w:rPr>
      </w:pPr>
    </w:p>
    <w:p>
      <w:pPr>
        <w:ind w:left="60" w:right="460"/>
        <w:spacing w:after="0" w:line="268" w:lineRule="auto"/>
        <w:rPr>
          <w:sz w:val="20"/>
          <w:szCs w:val="20"/>
          <w:color w:val="auto"/>
        </w:rPr>
      </w:pPr>
      <w:r>
        <w:rPr>
          <w:rFonts w:ascii="Arial" w:cs="Arial" w:eastAsia="Arial" w:hAnsi="Arial"/>
          <w:sz w:val="18"/>
          <w:szCs w:val="18"/>
          <w:color w:val="auto"/>
        </w:rPr>
        <w:t>The new $500 million, 300,000 square foot Tempe, Arizona facility will include an integrated digital production system, modular robotics, automated inspection, digital twins, and be powered by an end-to-end digital thread. This Honeywell Aerospace from-the-ground-up manufacturing facility investment will support the largest commercial and defense customers in aerospace and defense.</w:t>
      </w:r>
    </w:p>
    <w:p>
      <w:pPr>
        <w:spacing w:after="0" w:line="198" w:lineRule="exact"/>
        <w:rPr>
          <w:sz w:val="20"/>
          <w:szCs w:val="20"/>
          <w:color w:val="auto"/>
        </w:rPr>
      </w:pPr>
    </w:p>
    <w:p>
      <w:pPr>
        <w:ind w:left="60" w:right="200"/>
        <w:spacing w:after="0" w:line="262" w:lineRule="auto"/>
        <w:rPr>
          <w:sz w:val="20"/>
          <w:szCs w:val="20"/>
          <w:color w:val="auto"/>
        </w:rPr>
      </w:pPr>
      <w:r>
        <w:rPr>
          <w:rFonts w:ascii="Arial" w:cs="Arial" w:eastAsia="Arial" w:hAnsi="Arial"/>
          <w:sz w:val="18"/>
          <w:szCs w:val="18"/>
          <w:color w:val="auto"/>
        </w:rPr>
        <w:t>"Demand for Honeywell Aerospace technologies continues to accelerate across both commercial and defense markets, and this major investment ensures we can continue delivering for our customers while unlocking long-term growth for our shareholders," said Jim Currier, president and chief executive officer of Honeywell Aerospace. “This is an example of how our recent spin into an independent, publicly-traded Honeywell Aerospace allows us to make decisions and investments that support our growth and the future of aviation and defense.”</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new facility, near the company’s global headquarters, will create supply chain resilience by adding internal complex machining capability</w:t>
      </w:r>
    </w:p>
    <w:p>
      <w:pPr>
        <w:spacing w:after="0" w:line="27" w:lineRule="exact"/>
        <w:rPr>
          <w:sz w:val="20"/>
          <w:szCs w:val="20"/>
          <w:color w:val="auto"/>
        </w:rPr>
      </w:pPr>
    </w:p>
    <w:p>
      <w:pPr>
        <w:ind w:left="60" w:right="200"/>
        <w:spacing w:after="0" w:line="266" w:lineRule="auto"/>
        <w:rPr>
          <w:sz w:val="20"/>
          <w:szCs w:val="20"/>
          <w:color w:val="auto"/>
        </w:rPr>
      </w:pPr>
      <w:r>
        <w:rPr>
          <w:rFonts w:ascii="Arial" w:cs="Arial" w:eastAsia="Arial" w:hAnsi="Arial"/>
          <w:sz w:val="18"/>
          <w:szCs w:val="18"/>
          <w:color w:val="auto"/>
        </w:rPr>
        <w:t>– a key area of the supply base that is currently constrained – while establishing a more vertically integrated production system for the next generation of products including Assure advanced actuation systems and Attune vapor cycle cooling subsystems.</w:t>
      </w:r>
    </w:p>
    <w:p>
      <w:pPr>
        <w:spacing w:after="0" w:line="198" w:lineRule="exact"/>
        <w:rPr>
          <w:sz w:val="20"/>
          <w:szCs w:val="20"/>
          <w:color w:val="auto"/>
        </w:rPr>
      </w:pPr>
    </w:p>
    <w:p>
      <w:pPr>
        <w:jc w:val="both"/>
        <w:ind w:left="60" w:right="60"/>
        <w:spacing w:after="0" w:line="268" w:lineRule="auto"/>
        <w:rPr>
          <w:sz w:val="20"/>
          <w:szCs w:val="20"/>
          <w:color w:val="auto"/>
        </w:rPr>
      </w:pPr>
      <w:r>
        <w:rPr>
          <w:rFonts w:ascii="Arial" w:cs="Arial" w:eastAsia="Arial" w:hAnsi="Arial"/>
          <w:sz w:val="18"/>
          <w:szCs w:val="18"/>
          <w:color w:val="auto"/>
        </w:rPr>
        <w:t>Opening in late 2028, the advanced manufacturing facility will support customers’ growth on current programs, $15 billion in Control Systems new program wins, and the future of aviation. The expansion will also provide critical capacity growth to support priority production of critical defense technologies included in the supplier framework agreement the company signed with the Department of War in March.</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facility will create approximately 600 jobs, increasing the company’s engineering depth and its skilled workforce.</w:t>
      </w:r>
    </w:p>
    <w:p>
      <w:pPr>
        <w:spacing w:after="0" w:line="252" w:lineRule="exact"/>
        <w:rPr>
          <w:sz w:val="20"/>
          <w:szCs w:val="20"/>
          <w:color w:val="auto"/>
        </w:rPr>
      </w:pPr>
    </w:p>
    <w:p>
      <w:pPr>
        <w:ind w:left="60" w:right="80"/>
        <w:spacing w:after="0" w:line="268" w:lineRule="auto"/>
        <w:rPr>
          <w:sz w:val="20"/>
          <w:szCs w:val="20"/>
          <w:color w:val="auto"/>
        </w:rPr>
      </w:pPr>
      <w:r>
        <w:rPr>
          <w:rFonts w:ascii="Arial" w:cs="Arial" w:eastAsia="Arial" w:hAnsi="Arial"/>
          <w:sz w:val="18"/>
          <w:szCs w:val="18"/>
          <w:color w:val="auto"/>
        </w:rPr>
        <w:t>"Arizona has been at the heart of our innovation and manufacturing operations for decades,” Currier continued. “Expanding on our existing Tempe campus with this state-of-the-art new facility reinforces our commitment to this great state, our employees and the Arizona workforce, as well as the customers around the world who depend on Honeywell Aerospace technologies every day."</w:t>
      </w:r>
    </w:p>
    <w:p>
      <w:pPr>
        <w:sectPr>
          <w:pgSz w:w="11900" w:h="16838" w:orient="portrait"/>
          <w:cols w:equalWidth="0" w:num="1">
            <w:col w:w="11300"/>
          </w:cols>
          <w:pgMar w:left="260" w:top="125" w:right="339" w:bottom="1440" w:gutter="0" w:footer="0" w:header="0"/>
        </w:sectPr>
      </w:pPr>
    </w:p>
    <w:bookmarkStart w:id="18" w:name="page19"/>
    <w:bookmarkEnd w:id="18"/>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Honeywell Aerospace</w:t>
      </w:r>
    </w:p>
    <w:p>
      <w:pPr>
        <w:spacing w:after="0" w:line="21"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 xml:space="preserve">Honeywell Aerospace (Nasdaq: HONA) is an independent global aerospace and defense company whose critical technologies are broadly deployed on the world’s leading commercial air transport, business aviation, defense and space platforms. These integrated solutions enable safer, more efficient and more reliable missions. Headquartered in Phoenix, Arizona, the company employs more than 36,000 people globally and supports more than 10,000 customers. With a broad portfolio spanning avionics and navigation systems, engines and power systems, and control systems for aircraft, Honeywell Aerospace combines commitment and deep engineering expertise to drive innovation and long-term value for the aerospace industry. For more information, visit </w:t>
      </w:r>
      <w:r>
        <w:rPr>
          <w:rFonts w:ascii="Arial" w:cs="Arial" w:eastAsia="Arial" w:hAnsi="Arial"/>
          <w:sz w:val="16"/>
          <w:szCs w:val="16"/>
          <w:u w:val="single" w:color="auto"/>
          <w:color w:val="auto"/>
        </w:rPr>
        <w:t>www.honeywellaerospace.com</w:t>
      </w:r>
      <w:r>
        <w:rPr>
          <w:rFonts w:ascii="Arial" w:cs="Arial" w:eastAsia="Arial" w:hAnsi="Arial"/>
          <w:sz w:val="16"/>
          <w:szCs w:val="16"/>
          <w:color w:val="auto"/>
        </w:rPr>
        <w:t xml:space="preserve"> or follow </w:t>
      </w:r>
      <w:r>
        <w:rPr>
          <w:rFonts w:ascii="Arial" w:cs="Arial" w:eastAsia="Arial" w:hAnsi="Arial"/>
          <w:sz w:val="16"/>
          <w:szCs w:val="16"/>
          <w:u w:val="single" w:color="auto"/>
          <w:color w:val="auto"/>
        </w:rPr>
        <w:t>Honeywell Aerospace</w:t>
      </w:r>
      <w:r>
        <w:rPr>
          <w:rFonts w:ascii="Arial" w:cs="Arial" w:eastAsia="Arial" w:hAnsi="Arial"/>
          <w:sz w:val="16"/>
          <w:szCs w:val="16"/>
          <w:color w:val="auto"/>
        </w:rPr>
        <w:t xml:space="preserve"> on LinkedIn</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discussions in the release contain forward-looking statements within the meaning of Section 27A of the Securities Act of 1933, as amended, and Section 21E of the Securities Exchange Act of 1934, as amended (the "Exchange Act"). Forward-looking statements are those that address activities, events, or developments that management intends, expects, projects, believes, estimates, forecasts, or anticipates will or may occur in the future. They are based on management's assumptions and assessments in light of past experience and trends, current economic and industry conditions, expected future developments, customer demand, and other relevant factors, many of which are difficult to predict and outside of our control.</w:t>
      </w:r>
    </w:p>
    <w:p>
      <w:pPr>
        <w:spacing w:after="0" w:line="202"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These forward-looking statements should be considered in light of the information included in this release with our filings with the Securities and Exchange Commission. In addition, no assurance can be given that any plan, initiative, projection, goal, commitment, expectation, or prospect set forth in this release can or will be achieved. Any forward-looking plans described herein are not final and may be modified or abandoned at any time. We do not undertake to update or revise any of our forward-looking statements, except as required by applicable securities law.</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lowerRoman"/>
      <w:start w:val="2"/>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602"/>
    </w:lvl>
  </w:abstractNum>
  <w:abstractNum w:abstractNumId="10">
    <w:nsid w:val="1F16E9E8"/>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2026-10-28T15:27:32Z</dcterms:created>
  <dcterms:modified xsi:type="dcterms:W3CDTF">2026-10-28T15:27:32Z</dcterms:modified>
</cp:coreProperties>
</file>