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123825</wp:posOffset>
            </wp:positionV>
            <wp:extent cx="1518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 UNDER THE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ACT OF 1933</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HONEYWELL AEROSPACE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73025</wp:posOffset>
            </wp:positionV>
            <wp:extent cx="1518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7"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4860" w:type="dxa"/>
            <w:vAlign w:val="bottom"/>
          </w:tcPr>
          <w:p>
            <w:pPr>
              <w:jc w:val="center"/>
              <w:ind w:right="12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39-4202057</w:t>
            </w:r>
          </w:p>
        </w:tc>
      </w:tr>
      <w:tr>
        <w:trPr>
          <w:trHeight w:val="185"/>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80" w:type="dxa"/>
            <w:vAlign w:val="bottom"/>
          </w:tcPr>
          <w:p>
            <w:pPr>
              <w:jc w:val="center"/>
              <w:ind w:left="1260"/>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319"/>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8"/>
                <w:szCs w:val="18"/>
                <w:b w:val="1"/>
                <w:bCs w:val="1"/>
                <w:color w:val="auto"/>
                <w:w w:val="98"/>
              </w:rPr>
              <w:t>1944 E Sky Harbor Cir N</w:t>
            </w:r>
          </w:p>
        </w:tc>
        <w:tc>
          <w:tcPr>
            <w:tcW w:w="3680" w:type="dxa"/>
            <w:vAlign w:val="bottom"/>
          </w:tcPr>
          <w:p>
            <w:pPr>
              <w:spacing w:after="0"/>
              <w:rPr>
                <w:sz w:val="24"/>
                <w:szCs w:val="24"/>
                <w:color w:val="auto"/>
              </w:rPr>
            </w:pPr>
          </w:p>
        </w:tc>
      </w:tr>
      <w:tr>
        <w:trPr>
          <w:trHeight w:val="284"/>
        </w:trPr>
        <w:tc>
          <w:tcPr>
            <w:tcW w:w="4860" w:type="dxa"/>
            <w:vAlign w:val="bottom"/>
          </w:tcPr>
          <w:p>
            <w:pPr>
              <w:jc w:val="center"/>
              <w:ind w:right="1278"/>
              <w:spacing w:after="0"/>
              <w:rPr>
                <w:sz w:val="20"/>
                <w:szCs w:val="20"/>
                <w:color w:val="auto"/>
              </w:rPr>
            </w:pPr>
            <w:r>
              <w:rPr>
                <w:rFonts w:ascii="Times New Roman" w:cs="Times New Roman" w:eastAsia="Times New Roman" w:hAnsi="Times New Roman"/>
                <w:sz w:val="18"/>
                <w:szCs w:val="18"/>
                <w:b w:val="1"/>
                <w:bCs w:val="1"/>
                <w:color w:val="auto"/>
                <w:w w:val="97"/>
              </w:rPr>
              <w:t>Phoenix, AZ</w:t>
            </w:r>
          </w:p>
        </w:tc>
        <w:tc>
          <w:tcPr>
            <w:tcW w:w="3680" w:type="dxa"/>
            <w:vAlign w:val="bottom"/>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85034</w:t>
            </w:r>
          </w:p>
        </w:tc>
      </w:tr>
      <w:tr>
        <w:trPr>
          <w:trHeight w:val="185"/>
        </w:trPr>
        <w:tc>
          <w:tcPr>
            <w:tcW w:w="4860" w:type="dxa"/>
            <w:vAlign w:val="bottom"/>
          </w:tcPr>
          <w:p>
            <w:pPr>
              <w:jc w:val="center"/>
              <w:ind w:right="125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80" w:type="dxa"/>
            <w:vAlign w:val="bottom"/>
          </w:tcPr>
          <w:p>
            <w:pPr>
              <w:jc w:val="center"/>
              <w:ind w:left="1260"/>
              <w:spacing w:after="0"/>
              <w:rPr>
                <w:sz w:val="20"/>
                <w:szCs w:val="20"/>
                <w:color w:val="auto"/>
              </w:rPr>
            </w:pPr>
            <w:r>
              <w:rPr>
                <w:rFonts w:ascii="Times New Roman" w:cs="Times New Roman" w:eastAsia="Times New Roman" w:hAnsi="Times New Roman"/>
                <w:sz w:val="14"/>
                <w:szCs w:val="14"/>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193675</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Aerospace 401(k)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Aerospace Puerto Rico Savings Plan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132715</wp:posOffset>
            </wp:positionV>
            <wp:extent cx="151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Donofrio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1944 E Sky Harbor Cir 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AZ 85034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601-3099</w:t>
      </w:r>
    </w:p>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62865</wp:posOffset>
            </wp:positionV>
            <wp:extent cx="1518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75"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0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0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9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2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the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of Honeywell Aerospace Inc. (the “Registrant”) relates to 5,000,000 shares of the Registrant’s common stock, par value $0.01 per share (“Common Stock”), that may be allocated to participant accounts under the Honeywell Aerospace 401(k) Plan (as may be amended from time to time, the “401(k) Plan”), and 173,000 shares of Common Stock that may be allocated to participant accounts under the Honeywell Aerospace Puerto Rico Savings Plan (as may be amended from time to time, the “Puerto Rico Plan” and, together with the 401(k) Plan, the “Plans”). Pursuant to Rule 416(a) under the Securities Act of 1933, as amended (the “Securities Act”), this Registration Statement shall also cover such indeterminate number of additional shares of Common Stock as may become issuable under the Plans as a result of stock splits, stock dividends or similar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participants in the Plans covered by this Registration Statement as specified by Rule 428(b)(1) under the Securities Act. In accordance with the rules and regulations of the U.S. Securities and Exchange Commission (the “Commission”) and the instructions to Form S-8, such documents are not being filed with the Commission as part of this Registration Statement. These documents and the documents incorporated by reference in the Registration Statement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following documents, which have been filed (other than filings or portions of filings that are deemed furnished under applicable Commission rules, rather than filed) by the Registrant with the Commission pursuant to the Securities Exchange Act of 1934, as amended (the “Exchange Act”), are incorporated by reference herein and shall be deemed to be a part hereof:</w:t>
      </w:r>
    </w:p>
    <w:p>
      <w:pPr>
        <w:spacing w:after="0" w:line="177" w:lineRule="exact"/>
        <w:rPr>
          <w:sz w:val="20"/>
          <w:szCs w:val="20"/>
          <w:color w:val="auto"/>
        </w:rPr>
      </w:pPr>
    </w:p>
    <w:p>
      <w:pPr>
        <w:ind w:left="640" w:right="560" w:hanging="313"/>
        <w:spacing w:after="0" w:line="262" w:lineRule="auto"/>
        <w:tabs>
          <w:tab w:leader="none" w:pos="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effective Registration Statement on Form 10 (File No. 001-43173) initially filed with the Commission on </w:t>
      </w:r>
      <w:hyperlink r:id="rId15">
        <w:r>
          <w:rPr>
            <w:rFonts w:ascii="Times New Roman" w:cs="Times New Roman" w:eastAsia="Times New Roman" w:hAnsi="Times New Roman"/>
            <w:sz w:val="18"/>
            <w:szCs w:val="18"/>
            <w:u w:val="single" w:color="auto"/>
            <w:color w:val="0000FF"/>
          </w:rPr>
          <w:t>March 3, 2026</w:t>
        </w:r>
      </w:hyperlink>
      <w:r>
        <w:rPr>
          <w:rFonts w:ascii="Times New Roman" w:cs="Times New Roman" w:eastAsia="Times New Roman" w:hAnsi="Times New Roman"/>
          <w:sz w:val="18"/>
          <w:szCs w:val="18"/>
          <w:color w:val="auto"/>
        </w:rPr>
        <w:t xml:space="preserve">, as amended by Amendment No. 1 as filed with the Commission on </w:t>
      </w:r>
      <w:hyperlink r:id="rId16">
        <w:r>
          <w:rPr>
            <w:rFonts w:ascii="Times New Roman" w:cs="Times New Roman" w:eastAsia="Times New Roman" w:hAnsi="Times New Roman"/>
            <w:sz w:val="18"/>
            <w:szCs w:val="18"/>
            <w:u w:val="single" w:color="auto"/>
            <w:color w:val="0000FF"/>
          </w:rPr>
          <w:t>May 14, 2026</w:t>
        </w:r>
      </w:hyperlink>
      <w:r>
        <w:rPr>
          <w:rFonts w:ascii="Times New Roman" w:cs="Times New Roman" w:eastAsia="Times New Roman" w:hAnsi="Times New Roman"/>
          <w:sz w:val="18"/>
          <w:szCs w:val="18"/>
          <w:color w:val="auto"/>
        </w:rPr>
        <w:t xml:space="preserve">, as further amended by Amendment No. 2 as filed with the Commission on </w:t>
      </w:r>
      <w:hyperlink r:id="rId17">
        <w:r>
          <w:rPr>
            <w:rFonts w:ascii="Times New Roman" w:cs="Times New Roman" w:eastAsia="Times New Roman" w:hAnsi="Times New Roman"/>
            <w:sz w:val="18"/>
            <w:szCs w:val="18"/>
            <w:u w:val="single" w:color="auto"/>
            <w:color w:val="0000FF"/>
          </w:rPr>
          <w:t>June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“Form 10”);</w:t>
      </w:r>
    </w:p>
    <w:p>
      <w:pPr>
        <w:spacing w:after="0" w:line="17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18">
        <w:r>
          <w:rPr>
            <w:rFonts w:ascii="Times New Roman" w:cs="Times New Roman" w:eastAsia="Times New Roman" w:hAnsi="Times New Roman"/>
            <w:sz w:val="18"/>
            <w:szCs w:val="18"/>
            <w:u w:val="single" w:color="auto"/>
            <w:color w:val="0000FF"/>
          </w:rPr>
          <w:t>June 15, 2026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June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FF"/>
          </w:rPr>
          <w:t>June 29,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jc w:val="both"/>
        <w:ind w:left="640" w:right="20" w:hanging="313"/>
        <w:spacing w:after="0" w:line="262" w:lineRule="auto"/>
        <w:tabs>
          <w:tab w:leader="none" w:pos="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under the heading “Description of Aerospace Capital Stock” in the Registrant’s final Information Statement filed as </w:t>
      </w:r>
      <w:hyperlink r:id="rId21">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Current Reports on Form 8-K filed on June 15, 2026, and any other amendments and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(other than any such documents or portions thereof that are furnished under Item 2.02 or Item 7.01 of a Current Report on Form 8-K, unless otherwise indicated therein, including any exhibits included with such Items) and prior to the filing of a post-effective amendment to this Registration Statement, which indicates that all securities offered have been sold or which deregisters all securities then remaining unsold, shall be deemed to be incorporated by reference into this Registration Statement and to be a part hereof from the date of filing such</w:t>
      </w:r>
    </w:p>
    <w:p>
      <w:pPr>
        <w:sectPr>
          <w:pgSz w:w="11900" w:h="16838" w:orient="portrait"/>
          <w:cols w:equalWidth="0" w:num="1">
            <w:col w:w="11240"/>
          </w:cols>
          <w:pgMar w:left="320" w:top="1400"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color w:val="auto"/>
        </w:rPr>
        <w:t>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DGCL provides that it is not exclusive of other indemnification that may be granted by a corporation’s charter, by-laws, disinterested director vote, shareowner vote, agreement, or otherwise.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shareowners for monetary damages for breach of fiduciary duty as a director, except for liability for (i) any breach of the director’s or officer’s duty of loyalty to the corporation or its stockholders, (ii) acts or omissions not in good faith or which involve intentional misconduct or a knowing violation of law, (iii) payment of unlawful dividends or unlawful stock purchases or redemptions, (iv) any transaction from which the director derived an improper personal benefit or (v) with respect to any officer, any action by or in the right of the corporation. Under Article TWELFTH of the Registrant’s Amended and Restated Certificate of Incorporation, the Registrant has waived the personal liability of its directors and officers as permitted by Section 102(b)(7) of the DGCL.</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Article TWELFTH of the Registrant’s Amended and Restated Certificate of Incorporation, each person who is or was a director or officer of the Registrant, and each director or officer of the Registrant who serves or served any other enterprise or organization at the request of the Registrant, shall be indemnified by the Registrant to the full extent permitted by the DGCL.</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Under the DGCL, to the extent that such a person is successful on the merits or otherwise in defense of a suit or proceeding brought against such person by reason of the fact that such person is or was a director or officer of the Registrant, or serves or served any other enterprise or organization at the request of the Registrant, such person shall be indemnified against expenses (including attorneys’ fees) actually and reasonably incurred in connection with such action.</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unsuccessful in defense of a third-party civil suit or a criminal suit, or if such a suit is settled, such a person shall be indemnified under such law against both (i) expenses (including attorneys’ fees) and (ii) judgments, fines and amounts paid in settlement if such person acted in good faith and in a manner such person reasonably believed</w:t>
      </w:r>
    </w:p>
    <w:p>
      <w:pPr>
        <w:sectPr>
          <w:pgSz w:w="11900" w:h="16838" w:orient="portrait"/>
          <w:cols w:equalWidth="0" w:num="1">
            <w:col w:w="11240"/>
          </w:cols>
          <w:pgMar w:left="320" w:top="1404" w:right="339" w:bottom="1440" w:gutter="0" w:footer="0" w:header="0"/>
        </w:sectPr>
      </w:pPr>
    </w:p>
    <w:bookmarkStart w:id="3" w:name="page4"/>
    <w:bookmarkEnd w:id="3"/>
    <w:p>
      <w:pPr>
        <w:jc w:val="both"/>
        <w:spacing w:after="0" w:line="277" w:lineRule="auto"/>
        <w:rPr>
          <w:sz w:val="20"/>
          <w:szCs w:val="20"/>
          <w:color w:val="auto"/>
        </w:rPr>
      </w:pPr>
      <w:r>
        <w:rPr>
          <w:rFonts w:ascii="Times New Roman" w:cs="Times New Roman" w:eastAsia="Times New Roman" w:hAnsi="Times New Roman"/>
          <w:sz w:val="18"/>
          <w:szCs w:val="18"/>
          <w:color w:val="auto"/>
        </w:rPr>
        <w:t>to be in, or not opposed to, the best interests of the Registrant, and with respect to any criminal action, had no reasonable cause to believe such person’s conduct was unlawful.</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unsuccessful in defense of a suit brought by or in the right of the Registrant,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the Registrant except that if such a person is adjudged to be liable in such suit to the Registrant, such person cannot be made whole even for expenses unless the court determines that such person is fairly and reasonably entitled to indemnity for such expenses.</w:t>
      </w:r>
    </w:p>
    <w:p>
      <w:pPr>
        <w:spacing w:after="0" w:line="18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addition, the Registrant maintains directors’ and officers’ reimbursement and liability insurance pursuant to standard form policies. The risks covered by such policies include certain liabilities under the securities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Registrant undertakes to submit the 401(k) Plan and any amendment thereto to the Internal Revenue Service (“IRS”) in a timely manner and will make all changes required by the IRS in order to qualify the 401(k) Plan.</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instruction to Item 8 of Form S-8, no opinion of counsel as to the legality of the shares of Common Stock registered with respect to the Plans is furnished because no original issuance securities are being registered.</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 (numbering corresponds to Exhibit Table in Item 6.01 of Regulation S-K).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60" w:type="dxa"/>
            <w:vAlign w:val="bottom"/>
            <w:gridSpan w:val="6"/>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0"/>
        </w:trPr>
        <w:tc>
          <w:tcPr>
            <w:tcW w:w="1220" w:type="dxa"/>
            <w:vAlign w:val="bottom"/>
            <w:tcBorders>
              <w:top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00" w:type="dxa"/>
            <w:vAlign w:val="bottom"/>
            <w:tcBorders>
              <w:top w:val="single" w:sz="8" w:color="auto"/>
            </w:tcBorders>
            <w:gridSpan w:val="9"/>
          </w:tcPr>
          <w:p>
            <w:pPr>
              <w:spacing w:after="0" w:line="181"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Second Amended and Restated Certificate of Incorporation of Honeywell Aerospace Inc.(incorporated by reference to Exhibit 3.1 to</w:t>
              </w:r>
            </w:hyperlink>
          </w:p>
        </w:tc>
      </w:tr>
      <w:tr>
        <w:trPr>
          <w:trHeight w:val="154"/>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Honeywell Aerospace Inc.’s Current Report on Form 8-K, filed on June 29, 2026).</w:t>
              </w:r>
            </w:hyperlink>
          </w:p>
        </w:tc>
        <w:tc>
          <w:tcPr>
            <w:tcW w:w="3560" w:type="dxa"/>
            <w:vAlign w:val="bottom"/>
            <w:tcBorders>
              <w:top w:val="single" w:sz="8" w:color="0000FF"/>
            </w:tcBorders>
            <w:gridSpan w:val="3"/>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9"/>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Amended and Restated By-laws of Honeywell Aerospace Inc., dated June 29, 2026 (incorporated by reference to Exhibit 3.2 to</w:t>
              </w:r>
            </w:hyperlink>
          </w:p>
        </w:tc>
      </w:tr>
      <w:tr>
        <w:trPr>
          <w:trHeight w:val="154"/>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Honeywell Aerospace Inc.’s Current Report on Form 8-K, filed on June 29, 2026).</w:t>
              </w:r>
            </w:hyperlink>
          </w:p>
        </w:tc>
        <w:tc>
          <w:tcPr>
            <w:tcW w:w="3180" w:type="dxa"/>
            <w:vAlign w:val="bottom"/>
            <w:tcBorders>
              <w:top w:val="single" w:sz="8" w:color="0000FF"/>
            </w:tcBorders>
            <w:gridSpan w:val="2"/>
          </w:tcPr>
          <w:p>
            <w:pPr>
              <w:spacing w:after="0"/>
              <w:rPr>
                <w:sz w:val="13"/>
                <w:szCs w:val="13"/>
                <w:color w:val="auto"/>
              </w:rPr>
            </w:pPr>
          </w:p>
        </w:tc>
        <w:tc>
          <w:tcPr>
            <w:tcW w:w="7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2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Opinion of Carlos Gonzalez Law Office LLC (d/b/a BenefitsPuertoRico.com) regarding compliance of the Puerto Rico Plan with ERISA.</w:t>
            </w: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Carlos Gonzalez Law Office LLC (d/b/a BenefitsPuertoRico.com) (included in Exhibit 5.1).</w:t>
            </w:r>
          </w:p>
        </w:tc>
        <w:tc>
          <w:tcPr>
            <w:tcW w:w="100" w:type="dxa"/>
            <w:vAlign w:val="bottom"/>
          </w:tcPr>
          <w:p>
            <w:pPr>
              <w:spacing w:after="0"/>
              <w:rPr>
                <w:sz w:val="18"/>
                <w:szCs w:val="18"/>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2520" w:type="dxa"/>
            <w:vAlign w:val="bottom"/>
            <w:gridSpan w:val="4"/>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60" w:type="dxa"/>
            <w:vAlign w:val="bottom"/>
            <w:gridSpan w:val="6"/>
          </w:tcPr>
          <w:p>
            <w:pPr>
              <w:spacing w:after="0" w:line="20" w:lineRule="exact"/>
              <w:rPr>
                <w:sz w:val="1"/>
                <w:szCs w:val="1"/>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Power of Attorney (see signature page).</w:t>
            </w:r>
          </w:p>
        </w:tc>
        <w:tc>
          <w:tcPr>
            <w:tcW w:w="7060" w:type="dxa"/>
            <w:vAlign w:val="bottom"/>
            <w:gridSpan w:val="6"/>
          </w:tcPr>
          <w:p>
            <w:pPr>
              <w:spacing w:after="0"/>
              <w:rPr>
                <w:sz w:val="18"/>
                <w:szCs w:val="18"/>
                <w:color w:val="auto"/>
              </w:rPr>
            </w:pPr>
          </w:p>
        </w:tc>
      </w:t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Filing Fee Table.</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960" w:hanging="633"/>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20" w:lineRule="exact"/>
        <w:rPr>
          <w:rFonts w:ascii="Times New Roman" w:cs="Times New Roman" w:eastAsia="Times New Roman" w:hAnsi="Times New Roman"/>
          <w:sz w:val="18"/>
          <w:szCs w:val="18"/>
          <w:color w:val="auto"/>
        </w:rPr>
      </w:pPr>
    </w:p>
    <w:p>
      <w:pPr>
        <w:ind w:left="1600" w:hanging="311"/>
        <w:spacing w:after="0"/>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2240" w:hanging="310"/>
        <w:spacing w:after="0"/>
        <w:tabs>
          <w:tab w:leader="none" w:pos="22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2260" w:hanging="330"/>
        <w:spacing w:after="0" w:line="252" w:lineRule="auto"/>
        <w:tabs>
          <w:tab w:leader="none" w:pos="225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2260" w:hanging="330"/>
        <w:spacing w:after="0" w:line="277" w:lineRule="auto"/>
        <w:tabs>
          <w:tab w:leader="none" w:pos="22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jc w:val="both"/>
        <w:ind w:left="160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left="1600" w:hanging="311"/>
        <w:spacing w:after="0" w:line="262" w:lineRule="auto"/>
        <w:tabs>
          <w:tab w:leader="none" w:pos="159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1600" w:hanging="311"/>
        <w:spacing w:after="0" w:line="277" w:lineRule="auto"/>
        <w:tabs>
          <w:tab w:leader="none" w:pos="159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960" w:hanging="633"/>
        <w:spacing w:after="0" w:line="255" w:lineRule="auto"/>
        <w:tabs>
          <w:tab w:leader="none" w:pos="9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960" w:hanging="633"/>
        <w:spacing w:after="0" w:line="253" w:lineRule="auto"/>
        <w:tabs>
          <w:tab w:leader="none" w:pos="9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w:t>
      </w:r>
    </w:p>
    <w:p>
      <w:pPr>
        <w:sectPr>
          <w:pgSz w:w="11900" w:h="16838" w:orient="portrait"/>
          <w:cols w:equalWidth="0" w:num="1">
            <w:col w:w="11240"/>
          </w:cols>
          <w:pgMar w:left="320" w:top="1400" w:right="339" w:bottom="1440" w:gutter="0" w:footer="0" w:header="0"/>
        </w:sectPr>
      </w:pPr>
    </w:p>
    <w:bookmarkStart w:id="5" w:name="page6"/>
    <w:bookmarkEnd w:id="5"/>
    <w:p>
      <w:pPr>
        <w:spacing w:after="0" w:line="277" w:lineRule="auto"/>
        <w:rPr>
          <w:sz w:val="20"/>
          <w:szCs w:val="20"/>
          <w:color w:val="auto"/>
        </w:rPr>
      </w:pPr>
      <w:r>
        <w:rPr>
          <w:rFonts w:ascii="Times New Roman" w:cs="Times New Roman" w:eastAsia="Times New Roman" w:hAnsi="Times New Roman"/>
          <w:sz w:val="18"/>
          <w:szCs w:val="18"/>
          <w:color w:val="auto"/>
        </w:rPr>
        <w:t>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80"/>
          </w:cols>
          <w:pgMar w:left="1280" w:top="14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Phoenix, Arizona, on June 29, 2026.</w:t>
      </w:r>
    </w:p>
    <w:p>
      <w:pPr>
        <w:spacing w:after="0" w:line="21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291" w:lineRule="exact"/>
        <w:rPr>
          <w:sz w:val="20"/>
          <w:szCs w:val="20"/>
          <w:color w:val="auto"/>
        </w:rPr>
      </w:pPr>
    </w:p>
    <w:p>
      <w:pPr>
        <w:ind w:left="7300"/>
        <w:spacing w:after="0"/>
        <w:tabs>
          <w:tab w:leader="none" w:pos="7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Jepsen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15875</wp:posOffset>
            </wp:positionV>
            <wp:extent cx="206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27" w:lineRule="exact"/>
        <w:rPr>
          <w:sz w:val="20"/>
          <w:szCs w:val="20"/>
          <w:color w:val="auto"/>
        </w:rPr>
      </w:pPr>
    </w:p>
    <w:p>
      <w:pPr>
        <w:ind w:left="7300"/>
        <w:spacing w:after="0"/>
        <w:tabs>
          <w:tab w:leader="none" w:pos="8000" w:val="left"/>
        </w:tabs>
        <w:rPr>
          <w:sz w:val="20"/>
          <w:szCs w:val="20"/>
          <w:color w:val="auto"/>
        </w:rPr>
      </w:pPr>
      <w:r>
        <w:rPr>
          <w:rFonts w:ascii="Times New Roman" w:cs="Times New Roman" w:eastAsia="Times New Roman" w:hAnsi="Times New Roman"/>
          <w:sz w:val="18"/>
          <w:szCs w:val="18"/>
          <w:color w:val="auto"/>
        </w:rPr>
        <w:t>Name:</w:t>
        <w:tab/>
        <w:t>Joshua Jepsen</w:t>
      </w:r>
    </w:p>
    <w:p>
      <w:pPr>
        <w:spacing w:after="0" w:line="6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Senior Vice President and Chief Financial</w:t>
      </w:r>
    </w:p>
    <w:p>
      <w:pPr>
        <w:spacing w:after="0" w:line="26" w:lineRule="exact"/>
        <w:rPr>
          <w:sz w:val="20"/>
          <w:szCs w:val="20"/>
          <w:color w:val="auto"/>
        </w:rPr>
      </w:pPr>
    </w:p>
    <w:p>
      <w:pPr>
        <w:ind w:left="7300"/>
        <w:spacing w:after="0"/>
        <w:tabs>
          <w:tab w:leader="none" w:pos="7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Donofrio, Jennifer Nelson, Joshua Jepsen and William Lautar, each of them, acting individually, as his or her true and lawful attorneys-in-fact and agents, with full power of substitution and resubstitution, to execute for him or her and in his or her name, place, and stead, in any and all capacities, any and all amendments (including post-effective amendments, exhibits thereto and other documents in connection therewith) to this Registration Statement as the attorney-in-fact and to file or cause to be filed the same, with all exhibits thereto, and other documents in connection therewith, with the SEC, granting unto said attorneys-in-fact and agents and their substitutes, and each of them, full power and authority to do and perform each and every act and thing requisite and necessary to be done in connection therewith, as fully as he or she might or could do in person, hereby ratifying and confirming all that said attorneys-in-fact and agents, or any of them, or their or his or her substitute or substitutes, may lawfully do or cause to be done by virtue 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61"/>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Currier</w:t>
            </w:r>
          </w:p>
        </w:tc>
        <w:tc>
          <w:tcPr>
            <w:tcW w:w="140" w:type="dxa"/>
            <w:vAlign w:val="bottom"/>
          </w:tcPr>
          <w:p>
            <w:pPr>
              <w:spacing w:after="0"/>
              <w:rPr>
                <w:sz w:val="22"/>
                <w:szCs w:val="2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James Currier</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Joshua Jepsen</w:t>
            </w:r>
          </w:p>
        </w:tc>
        <w:tc>
          <w:tcPr>
            <w:tcW w:w="14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Jepsen</w:t>
            </w:r>
          </w:p>
        </w:tc>
        <w:tc>
          <w:tcPr>
            <w:tcW w:w="140" w:type="dxa"/>
            <w:vAlign w:val="bottom"/>
            <w:vMerge w:val="continue"/>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Lautar</w:t>
            </w:r>
          </w:p>
        </w:tc>
        <w:tc>
          <w:tcPr>
            <w:tcW w:w="14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 and Chief Accounting Officer</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Lautar</w:t>
            </w:r>
          </w:p>
        </w:tc>
        <w:tc>
          <w:tcPr>
            <w:tcW w:w="140" w:type="dxa"/>
            <w:vAlign w:val="bottom"/>
            <w:vMerge w:val="continue"/>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Arnold</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Craig Arnold</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Ayer</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William Ayer</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Scott Davis</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 Scott Davis</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Denton</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David Denton</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Pascal Desroches</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Pascal Desroches</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Deborah Flint</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Deborah Flint</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Goldfein</w:t>
            </w:r>
          </w:p>
        </w:tc>
        <w:tc>
          <w:tcPr>
            <w:tcW w:w="140" w:type="dxa"/>
            <w:vAlign w:val="bottom"/>
          </w:tcPr>
          <w:p>
            <w:pPr>
              <w:spacing w:after="0"/>
              <w:rPr>
                <w:sz w:val="23"/>
                <w:szCs w:val="23"/>
                <w:color w:val="auto"/>
              </w:rPr>
            </w:pPr>
          </w:p>
        </w:tc>
        <w:tc>
          <w:tcPr>
            <w:tcW w:w="5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10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David Goldfein</w:t>
            </w:r>
          </w:p>
        </w:tc>
        <w:tc>
          <w:tcPr>
            <w:tcW w:w="14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color w:val="auto"/>
        </w:rPr>
        <w:t>/s/ Mark Reuss</w:t>
      </w:r>
    </w:p>
    <w:p>
      <w:pPr>
        <w:ind w:left="8100"/>
        <w:spacing w:after="0" w:line="193" w:lineRule="auto"/>
        <w:rPr>
          <w:sz w:val="20"/>
          <w:szCs w:val="20"/>
          <w:color w:val="auto"/>
        </w:rPr>
      </w:pPr>
      <w:r>
        <w:rPr>
          <w:rFonts w:ascii="Times New Roman" w:cs="Times New Roman" w:eastAsia="Times New Roman" w:hAnsi="Times New Roman"/>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60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Mark Reuss</w:t>
      </w:r>
    </w:p>
    <w:p>
      <w:pPr>
        <w:ind w:left="20"/>
        <w:spacing w:after="0" w:line="224" w:lineRule="auto"/>
        <w:rPr>
          <w:sz w:val="20"/>
          <w:szCs w:val="20"/>
          <w:color w:val="auto"/>
        </w:rPr>
      </w:pPr>
      <w:r>
        <w:rPr>
          <w:rFonts w:ascii="Times New Roman" w:cs="Times New Roman" w:eastAsia="Times New Roman" w:hAnsi="Times New Roman"/>
          <w:sz w:val="18"/>
          <w:szCs w:val="18"/>
          <w:color w:val="auto"/>
        </w:rPr>
        <w:t>/s/ William Roper</w:t>
      </w:r>
    </w:p>
    <w:p>
      <w:pPr>
        <w:ind w:left="8100"/>
        <w:spacing w:after="0" w:line="180" w:lineRule="auto"/>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60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William Roper</w:t>
      </w:r>
    </w:p>
    <w:p>
      <w:pPr>
        <w:ind w:left="20"/>
        <w:spacing w:after="0" w:line="224" w:lineRule="auto"/>
        <w:rPr>
          <w:sz w:val="20"/>
          <w:szCs w:val="20"/>
          <w:color w:val="auto"/>
        </w:rPr>
      </w:pPr>
      <w:r>
        <w:rPr>
          <w:rFonts w:ascii="Times New Roman" w:cs="Times New Roman" w:eastAsia="Times New Roman" w:hAnsi="Times New Roman"/>
          <w:sz w:val="18"/>
          <w:szCs w:val="18"/>
          <w:color w:val="auto"/>
        </w:rPr>
        <w:t>/s/ Michelle Seitz</w:t>
      </w:r>
    </w:p>
    <w:p>
      <w:pPr>
        <w:ind w:left="8100"/>
        <w:spacing w:after="0" w:line="180" w:lineRule="auto"/>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60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Michelle Seitz</w:t>
      </w:r>
    </w:p>
    <w:p>
      <w:pPr>
        <w:spacing w:after="0" w:line="2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plan administrator of the Honeywell Aerospace 401(k) Plan has duly caused this Registration Statement to be signed on its behalf by the undersigned, thereunto duly authorized, in Phoenix, Arizona, on June 29, 2026.</w:t>
      </w:r>
    </w:p>
    <w:p>
      <w:pPr>
        <w:spacing w:after="0" w:line="19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HONEYWELL AEROSPACE 401(K) PLAN</w:t>
      </w:r>
    </w:p>
    <w:p>
      <w:pPr>
        <w:spacing w:after="0" w:line="291" w:lineRule="exact"/>
        <w:rPr>
          <w:sz w:val="20"/>
          <w:szCs w:val="20"/>
          <w:color w:val="auto"/>
        </w:rPr>
      </w:pPr>
    </w:p>
    <w:tbl>
      <w:tblPr>
        <w:tblLayout w:type="fixed"/>
        <w:tblInd w:w="730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Ponicall</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 Ponicall</w:t>
            </w: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Global Benefits</w:t>
            </w:r>
          </w:p>
        </w:tc>
      </w:tr>
    </w:tbl>
    <w:p>
      <w:pPr>
        <w:spacing w:after="0" w:line="3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plan administrator of the Honeywell Aerospace Puerto Rico Savings Plan has duly caused this Registration Statement to be signed on its behalf by the undersigned, thereunto duly authorized, in Phoenix, Arizona, on June 29, 2026.</w:t>
      </w:r>
    </w:p>
    <w:p>
      <w:pPr>
        <w:spacing w:after="0" w:line="19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HONEYWELL AEROSPACE PUERTO RICO</w:t>
      </w:r>
    </w:p>
    <w:p>
      <w:pPr>
        <w:spacing w:after="0" w:line="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267" w:lineRule="exact"/>
        <w:rPr>
          <w:sz w:val="20"/>
          <w:szCs w:val="20"/>
          <w:color w:val="auto"/>
        </w:rPr>
      </w:pPr>
    </w:p>
    <w:tbl>
      <w:tblPr>
        <w:tblLayout w:type="fixed"/>
        <w:tblInd w:w="730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Ponicall</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 Ponicall</w:t>
            </w: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Global Benefits</w:t>
            </w:r>
          </w:p>
        </w:tc>
      </w:tr>
    </w:tbl>
    <w:p>
      <w:pPr>
        <w:sectPr>
          <w:pgSz w:w="11900" w:h="16838" w:orient="portrait"/>
          <w:cols w:equalWidth="0" w:num="1">
            <w:col w:w="11240"/>
          </w:cols>
          <w:pgMar w:left="320" w:top="1377"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Honeywell Aerospace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20" w:type="dxa"/>
            <w:vAlign w:val="bottom"/>
            <w:shd w:val="clear" w:color="auto" w:fill="9ADAF6"/>
          </w:tcPr>
          <w:p>
            <w:pPr>
              <w:ind w:left="20"/>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9ADAF6"/>
          </w:tcPr>
          <w:p>
            <w:pPr>
              <w:ind w:left="160"/>
              <w:spacing w:after="0" w:line="216"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92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5,173,000</w:t>
            </w:r>
          </w:p>
        </w:tc>
        <w:tc>
          <w:tcPr>
            <w:tcW w:w="20" w:type="dxa"/>
            <w:vAlign w:val="bottom"/>
          </w:tcPr>
          <w:p>
            <w:pPr>
              <w:spacing w:after="0"/>
              <w:rPr>
                <w:sz w:val="10"/>
                <w:szCs w:val="1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$ 270.52</w:t>
            </w:r>
          </w:p>
        </w:tc>
        <w:tc>
          <w:tcPr>
            <w:tcW w:w="2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$ 193,257.13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1,399,399,960.00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$ 193,257.13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1,399,399,960.00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$ 193,257.13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40" w:firstLine="2"/>
        <w:spacing w:after="0" w:line="245" w:lineRule="auto"/>
        <w:tabs>
          <w:tab w:leader="none" w:pos="1121"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registration statement registers 5,173,000 shares of common stock, par value $0.01 per share, of Honeywell Aerospace Inc. ("Common Stock") to be issued from time to time in accordance with the Honeywell Aerospace 401(k) Plan and the Honeywell Aerospace Puerto Rico Savings Plan (collectively, the "Plans"). Pursuant to Rule 416 under the Securities Act of 1933, as amended (the "Securities Act"), the number of shares of Common Stock registered hereby includes an indeterminate number of shares of Common Stock that may be issued in connection with share splits, share dividends or similar transactions.</w:t>
      </w:r>
    </w:p>
    <w:p>
      <w:pPr>
        <w:spacing w:after="0" w:line="197" w:lineRule="exact"/>
        <w:rPr>
          <w:rFonts w:ascii="Arial" w:cs="Arial" w:eastAsia="Arial" w:hAnsi="Arial"/>
          <w:sz w:val="21"/>
          <w:szCs w:val="21"/>
          <w:color w:val="auto"/>
        </w:rPr>
      </w:pPr>
    </w:p>
    <w:p>
      <w:pPr>
        <w:ind w:left="800" w:right="800" w:firstLine="2"/>
        <w:spacing w:after="0" w:line="248" w:lineRule="auto"/>
        <w:tabs>
          <w:tab w:leader="none" w:pos="1121"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proposed maximum offering price per share and proposed maximum aggregate offering price for the Common Stock covered by this registration statement have been estimated in accordance with Rules 457(c) and (h) under the Securities Act, solely for the purpose of calculating the registration fee. The price of $270.52 per share represents the average of the high and low sales prices of Common Stock as reported on The Nasdaq Stock Market LLC on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9" w:name="page10"/>
    <w:bookmarkEnd w:id="9"/>
    <w:tbl>
      <w:tblPr>
        <w:tblLayout w:type="fixed"/>
        <w:tblInd w:w="604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222"/>
        </w:trPr>
        <w:tc>
          <w:tcPr>
            <w:tcW w:w="2180" w:type="dxa"/>
            <w:vAlign w:val="bottom"/>
          </w:tcPr>
          <w:p>
            <w:pPr>
              <w:jc w:val="right"/>
              <w:ind w:right="684"/>
              <w:spacing w:after="0"/>
              <w:rPr>
                <w:sz w:val="20"/>
                <w:szCs w:val="20"/>
                <w:color w:val="auto"/>
              </w:rPr>
            </w:pPr>
            <w:r>
              <w:rPr>
                <w:rFonts w:ascii="Arial" w:cs="Arial" w:eastAsia="Arial" w:hAnsi="Arial"/>
                <w:sz w:val="15"/>
                <w:szCs w:val="15"/>
                <w:b w:val="1"/>
                <w:bCs w:val="1"/>
                <w:color w:val="1C4060"/>
              </w:rPr>
              <w:t>(Atlanta Office)</w:t>
            </w:r>
          </w:p>
        </w:tc>
        <w:tc>
          <w:tcPr>
            <w:tcW w:w="3020" w:type="dxa"/>
            <w:vAlign w:val="bottom"/>
          </w:tcPr>
          <w:p>
            <w:pPr>
              <w:jc w:val="right"/>
              <w:spacing w:after="0"/>
              <w:rPr>
                <w:sz w:val="20"/>
                <w:szCs w:val="20"/>
                <w:color w:val="auto"/>
              </w:rPr>
            </w:pPr>
            <w:r>
              <w:rPr>
                <w:rFonts w:ascii="Arial" w:cs="Arial" w:eastAsia="Arial" w:hAnsi="Arial"/>
                <w:sz w:val="15"/>
                <w:szCs w:val="15"/>
                <w:b w:val="1"/>
                <w:bCs w:val="1"/>
                <w:color w:val="1C4060"/>
              </w:rPr>
              <w:t>(San Juan Office)</w:t>
            </w:r>
          </w:p>
        </w:tc>
      </w:tr>
      <w:tr>
        <w:trPr>
          <w:trHeight w:val="174"/>
        </w:trPr>
        <w:tc>
          <w:tcPr>
            <w:tcW w:w="2180" w:type="dxa"/>
            <w:vAlign w:val="bottom"/>
          </w:tcPr>
          <w:p>
            <w:pPr>
              <w:jc w:val="right"/>
              <w:ind w:right="684"/>
              <w:spacing w:after="0"/>
              <w:rPr>
                <w:sz w:val="20"/>
                <w:szCs w:val="20"/>
                <w:color w:val="auto"/>
              </w:rPr>
            </w:pPr>
            <w:r>
              <w:rPr>
                <w:rFonts w:ascii="Arial" w:cs="Arial" w:eastAsia="Arial" w:hAnsi="Arial"/>
                <w:sz w:val="15"/>
                <w:szCs w:val="15"/>
                <w:b w:val="1"/>
                <w:bCs w:val="1"/>
                <w:color w:val="1C4060"/>
                <w:w w:val="98"/>
              </w:rPr>
              <w:t>4876 Windhaven Ct.</w:t>
            </w:r>
          </w:p>
        </w:tc>
        <w:tc>
          <w:tcPr>
            <w:tcW w:w="3020" w:type="dxa"/>
            <w:vAlign w:val="bottom"/>
          </w:tcPr>
          <w:p>
            <w:pPr>
              <w:jc w:val="right"/>
              <w:spacing w:after="0"/>
              <w:rPr>
                <w:sz w:val="20"/>
                <w:szCs w:val="20"/>
                <w:color w:val="auto"/>
              </w:rPr>
            </w:pPr>
            <w:r>
              <w:rPr>
                <w:rFonts w:ascii="Arial" w:cs="Arial" w:eastAsia="Arial" w:hAnsi="Arial"/>
                <w:sz w:val="15"/>
                <w:szCs w:val="15"/>
                <w:b w:val="1"/>
                <w:bCs w:val="1"/>
                <w:color w:val="1C4060"/>
              </w:rPr>
              <w:t>El Paraiso Condo 10-D</w:t>
            </w:r>
          </w:p>
        </w:tc>
      </w:tr>
      <w:tr>
        <w:trPr>
          <w:trHeight w:val="187"/>
        </w:trPr>
        <w:tc>
          <w:tcPr>
            <w:tcW w:w="2180" w:type="dxa"/>
            <w:vAlign w:val="bottom"/>
          </w:tcPr>
          <w:p>
            <w:pPr>
              <w:jc w:val="right"/>
              <w:ind w:right="664"/>
              <w:spacing w:after="0"/>
              <w:rPr>
                <w:sz w:val="20"/>
                <w:szCs w:val="20"/>
                <w:color w:val="auto"/>
              </w:rPr>
            </w:pPr>
            <w:r>
              <w:rPr>
                <w:rFonts w:ascii="Arial" w:cs="Arial" w:eastAsia="Arial" w:hAnsi="Arial"/>
                <w:sz w:val="15"/>
                <w:szCs w:val="15"/>
                <w:b w:val="1"/>
                <w:bCs w:val="1"/>
                <w:color w:val="1C4060"/>
              </w:rPr>
              <w:t>Atlanta, GA 30338</w:t>
            </w:r>
          </w:p>
        </w:tc>
        <w:tc>
          <w:tcPr>
            <w:tcW w:w="3020" w:type="dxa"/>
            <w:vAlign w:val="bottom"/>
          </w:tcPr>
          <w:p>
            <w:pPr>
              <w:jc w:val="right"/>
              <w:spacing w:after="0"/>
              <w:rPr>
                <w:sz w:val="20"/>
                <w:szCs w:val="20"/>
                <w:color w:val="auto"/>
              </w:rPr>
            </w:pPr>
            <w:r>
              <w:rPr>
                <w:rFonts w:ascii="Arial" w:cs="Arial" w:eastAsia="Arial" w:hAnsi="Arial"/>
                <w:sz w:val="15"/>
                <w:szCs w:val="15"/>
                <w:b w:val="1"/>
                <w:bCs w:val="1"/>
                <w:color w:val="1C4060"/>
              </w:rPr>
              <w:t>1560 Parana Street</w:t>
            </w:r>
          </w:p>
        </w:tc>
      </w:tr>
      <w:tr>
        <w:trPr>
          <w:trHeight w:val="174"/>
        </w:trPr>
        <w:tc>
          <w:tcPr>
            <w:tcW w:w="218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Arial" w:cs="Arial" w:eastAsia="Arial" w:hAnsi="Arial"/>
                <w:sz w:val="15"/>
                <w:szCs w:val="15"/>
                <w:b w:val="1"/>
                <w:bCs w:val="1"/>
                <w:color w:val="1C4060"/>
              </w:rPr>
              <w:t>San Juan, PR 00926</w:t>
            </w:r>
          </w:p>
        </w:tc>
      </w:tr>
      <w:tr>
        <w:trPr>
          <w:trHeight w:val="195"/>
        </w:trPr>
        <w:tc>
          <w:tcPr>
            <w:tcW w:w="2180" w:type="dxa"/>
            <w:vAlign w:val="bottom"/>
          </w:tcPr>
          <w:p>
            <w:pPr>
              <w:spacing w:after="0"/>
              <w:rPr>
                <w:sz w:val="16"/>
                <w:szCs w:val="16"/>
                <w:color w:val="auto"/>
              </w:rPr>
            </w:pPr>
          </w:p>
        </w:tc>
        <w:tc>
          <w:tcPr>
            <w:tcW w:w="3020" w:type="dxa"/>
            <w:vAlign w:val="bottom"/>
          </w:tcPr>
          <w:p>
            <w:pPr>
              <w:jc w:val="right"/>
              <w:spacing w:after="0"/>
              <w:rPr>
                <w:sz w:val="20"/>
                <w:szCs w:val="20"/>
                <w:color w:val="auto"/>
              </w:rPr>
            </w:pPr>
            <w:r>
              <w:rPr>
                <w:rFonts w:ascii="Arial" w:cs="Arial" w:eastAsia="Arial" w:hAnsi="Arial"/>
                <w:sz w:val="15"/>
                <w:szCs w:val="15"/>
                <w:b w:val="1"/>
                <w:bCs w:val="1"/>
                <w:color w:val="1C4060"/>
              </w:rPr>
              <w:t>Tel: (787) 900-9956</w:t>
            </w:r>
          </w:p>
        </w:tc>
      </w:tr>
      <w:tr>
        <w:trPr>
          <w:trHeight w:val="160"/>
        </w:trPr>
        <w:tc>
          <w:tcPr>
            <w:tcW w:w="2180" w:type="dxa"/>
            <w:vAlign w:val="bottom"/>
          </w:tcPr>
          <w:p>
            <w:pPr>
              <w:spacing w:after="0"/>
              <w:rPr>
                <w:sz w:val="13"/>
                <w:szCs w:val="13"/>
                <w:color w:val="auto"/>
              </w:rPr>
            </w:pPr>
          </w:p>
        </w:tc>
        <w:tc>
          <w:tcPr>
            <w:tcW w:w="3020" w:type="dxa"/>
            <w:vAlign w:val="bottom"/>
          </w:tcPr>
          <w:p>
            <w:pPr>
              <w:jc w:val="right"/>
              <w:spacing w:after="0"/>
              <w:rPr>
                <w:sz w:val="20"/>
                <w:szCs w:val="20"/>
                <w:color w:val="auto"/>
              </w:rPr>
            </w:pPr>
            <w:r>
              <w:rPr>
                <w:rFonts w:ascii="Arial" w:cs="Arial" w:eastAsia="Arial" w:hAnsi="Arial"/>
                <w:sz w:val="14"/>
                <w:szCs w:val="14"/>
                <w:b w:val="1"/>
                <w:bCs w:val="1"/>
                <w:color w:val="1C4060"/>
              </w:rPr>
              <w:t>Fax: (770) 202-7177</w:t>
            </w:r>
          </w:p>
        </w:tc>
      </w:tr>
      <w:tr>
        <w:trPr>
          <w:trHeight w:val="195"/>
        </w:trPr>
        <w:tc>
          <w:tcPr>
            <w:tcW w:w="2180" w:type="dxa"/>
            <w:vAlign w:val="bottom"/>
          </w:tcPr>
          <w:p>
            <w:pPr>
              <w:spacing w:after="0"/>
              <w:rPr>
                <w:sz w:val="16"/>
                <w:szCs w:val="16"/>
                <w:color w:val="auto"/>
              </w:rPr>
            </w:pPr>
          </w:p>
        </w:tc>
        <w:tc>
          <w:tcPr>
            <w:tcW w:w="3020" w:type="dxa"/>
            <w:vAlign w:val="bottom"/>
          </w:tcPr>
          <w:p>
            <w:pPr>
              <w:jc w:val="right"/>
              <w:spacing w:after="0"/>
              <w:rPr>
                <w:sz w:val="20"/>
                <w:szCs w:val="20"/>
                <w:color w:val="auto"/>
              </w:rPr>
            </w:pPr>
            <w:r>
              <w:rPr>
                <w:rFonts w:ascii="Arial" w:cs="Arial" w:eastAsia="Arial" w:hAnsi="Arial"/>
                <w:sz w:val="14"/>
                <w:szCs w:val="14"/>
                <w:b w:val="1"/>
                <w:bCs w:val="1"/>
                <w:color w:val="1C4060"/>
              </w:rPr>
              <w:t>Carlos@BenefitsPuertoRico.com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-812800</wp:posOffset>
            </wp:positionV>
            <wp:extent cx="1060450" cy="601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60450" cy="60198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June 29,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u w:val="single" w:color="auto"/>
          <w:color w:val="auto"/>
        </w:rPr>
        <w:t>By email: lisa.dooley@honeywell.com</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Matthew Ponicall,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Vice President, Total Benefits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Honeywell Aerospace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1944 East Sky Harbor Circle North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Phoenix, AZ 85034</w:t>
      </w:r>
    </w:p>
    <w:p>
      <w:pPr>
        <w:sectPr>
          <w:pgSz w:w="11900" w:h="16838" w:orient="portrait"/>
          <w:cols w:equalWidth="0" w:num="1">
            <w:col w:w="11240"/>
          </w:cols>
          <w:pgMar w:left="320" w:top="117" w:right="339" w:bottom="1440" w:gutter="0" w:footer="0" w:header="0"/>
        </w:sect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b w:val="1"/>
          <w:bCs w:val="1"/>
          <w:color w:val="auto"/>
        </w:rPr>
        <w:t>Re: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3840"/>
        <w:spacing w:after="0" w:line="292" w:lineRule="auto"/>
        <w:rPr>
          <w:sz w:val="20"/>
          <w:szCs w:val="20"/>
          <w:color w:val="auto"/>
        </w:rPr>
      </w:pPr>
      <w:r>
        <w:rPr>
          <w:rFonts w:ascii="Times New Roman" w:cs="Times New Roman" w:eastAsia="Times New Roman" w:hAnsi="Times New Roman"/>
          <w:sz w:val="23"/>
          <w:szCs w:val="23"/>
          <w:b w:val="1"/>
          <w:bCs w:val="1"/>
          <w:color w:val="auto"/>
        </w:rPr>
        <w:t>Honeywell Aerospace Puerto Rico Savings Plan &amp; Honeywell Aerospace Puerto Rico Savings Plan Trust Fund</w:t>
      </w:r>
    </w:p>
    <w:p>
      <w:pPr>
        <w:spacing w:after="0" w:line="200" w:lineRule="exact"/>
        <w:rPr>
          <w:sz w:val="20"/>
          <w:szCs w:val="20"/>
          <w:color w:val="auto"/>
        </w:rPr>
      </w:pPr>
    </w:p>
    <w:p>
      <w:pPr>
        <w:sectPr>
          <w:pgSz w:w="11900" w:h="16838" w:orient="portrait"/>
          <w:cols w:equalWidth="0" w:num="2">
            <w:col w:w="1020" w:space="520"/>
            <w:col w:w="9700"/>
          </w:cols>
          <w:pgMar w:left="320" w:top="117"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Dear Mr. Ponicall:</w:t>
      </w:r>
    </w:p>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3"/>
          <w:szCs w:val="23"/>
          <w:color w:val="auto"/>
        </w:rPr>
        <w:t>In accordance with 17 C.F.R. § 229.601(b)(5)(ii)(A), this is confirm that, in my opinion, the Honeywell Aerospace Puerto Rico Savings Plan (the “</w:t>
      </w:r>
      <w:r>
        <w:rPr>
          <w:rFonts w:ascii="Times New Roman" w:cs="Times New Roman" w:eastAsia="Times New Roman" w:hAnsi="Times New Roman"/>
          <w:sz w:val="23"/>
          <w:szCs w:val="23"/>
          <w:i w:val="1"/>
          <w:iCs w:val="1"/>
          <w:u w:val="single" w:color="auto"/>
          <w:color w:val="auto"/>
        </w:rPr>
        <w:t>Plan</w:t>
      </w:r>
      <w:r>
        <w:rPr>
          <w:rFonts w:ascii="Times New Roman" w:cs="Times New Roman" w:eastAsia="Times New Roman" w:hAnsi="Times New Roman"/>
          <w:sz w:val="23"/>
          <w:szCs w:val="23"/>
          <w:color w:val="auto"/>
        </w:rPr>
        <w:t>”) and the trust fund forming part of the Plan, the Honeywell Aerospace Puerto Rico Savings Plan Trust Fund (the “</w:t>
      </w:r>
      <w:r>
        <w:rPr>
          <w:rFonts w:ascii="Times New Roman" w:cs="Times New Roman" w:eastAsia="Times New Roman" w:hAnsi="Times New Roman"/>
          <w:sz w:val="23"/>
          <w:szCs w:val="23"/>
          <w:i w:val="1"/>
          <w:iCs w:val="1"/>
          <w:u w:val="single" w:color="auto"/>
          <w:color w:val="auto"/>
        </w:rPr>
        <w:t>Trust Fund</w:t>
      </w:r>
      <w:r>
        <w:rPr>
          <w:rFonts w:ascii="Times New Roman" w:cs="Times New Roman" w:eastAsia="Times New Roman" w:hAnsi="Times New Roman"/>
          <w:sz w:val="23"/>
          <w:szCs w:val="23"/>
          <w:color w:val="auto"/>
        </w:rPr>
        <w:t>”), are subject to, and properly comply with, the provision of Title I of the Employee Retirement Income Security Act of 1974, as amended (“</w:t>
      </w:r>
      <w:r>
        <w:rPr>
          <w:rFonts w:ascii="Times New Roman" w:cs="Times New Roman" w:eastAsia="Times New Roman" w:hAnsi="Times New Roman"/>
          <w:sz w:val="23"/>
          <w:szCs w:val="23"/>
          <w:i w:val="1"/>
          <w:iCs w:val="1"/>
          <w:u w:val="single" w:color="auto"/>
          <w:color w:val="auto"/>
        </w:rPr>
        <w:t>ERISA</w:t>
      </w:r>
      <w:r>
        <w:rPr>
          <w:rFonts w:ascii="Times New Roman" w:cs="Times New Roman" w:eastAsia="Times New Roman" w:hAnsi="Times New Roman"/>
          <w:sz w:val="23"/>
          <w:szCs w:val="23"/>
          <w:color w:val="auto"/>
        </w:rPr>
        <w:t>”), applicable to individual account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The following facts and circumstances support my opinion:</w:t>
      </w:r>
    </w:p>
    <w:p>
      <w:pPr>
        <w:spacing w:after="0" w:line="270" w:lineRule="exact"/>
        <w:rPr>
          <w:sz w:val="20"/>
          <w:szCs w:val="20"/>
          <w:color w:val="auto"/>
        </w:rPr>
      </w:pPr>
    </w:p>
    <w:p>
      <w:pPr>
        <w:jc w:val="both"/>
        <w:ind w:left="720" w:hanging="375"/>
        <w:spacing w:after="0" w:line="261" w:lineRule="auto"/>
        <w:tabs>
          <w:tab w:leader="none" w:pos="720"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Plan is a profit-sharing plan with a cash-or-deferred arrangement qualified under Section 1081.01(a) of the Puerto Rico Internal Revenue Code of 2011, as amended (the “</w:t>
      </w:r>
      <w:r>
        <w:rPr>
          <w:rFonts w:ascii="Times New Roman" w:cs="Times New Roman" w:eastAsia="Times New Roman" w:hAnsi="Times New Roman"/>
          <w:sz w:val="23"/>
          <w:szCs w:val="23"/>
          <w:i w:val="1"/>
          <w:iCs w:val="1"/>
          <w:u w:val="single" w:color="auto"/>
          <w:color w:val="auto"/>
        </w:rPr>
        <w:t>PRIRC</w:t>
      </w:r>
      <w:r>
        <w:rPr>
          <w:rFonts w:ascii="Times New Roman" w:cs="Times New Roman" w:eastAsia="Times New Roman" w:hAnsi="Times New Roman"/>
          <w:sz w:val="23"/>
          <w:szCs w:val="23"/>
          <w:color w:val="auto"/>
        </w:rPr>
        <w:t>”), and the Trust Fund is an employees’ trust exempt from: (a) Puerto Rico income taxation in accordance with PRIRC § 1081.01(a); and (b) United States income taxation in accordance with ERISA § 1022(i)(1) and Treas. Reg. § 1.501(a)-1(e).</w:t>
      </w:r>
    </w:p>
    <w:p>
      <w:pPr>
        <w:spacing w:after="0" w:line="198" w:lineRule="exact"/>
        <w:rPr>
          <w:rFonts w:ascii="Times New Roman" w:cs="Times New Roman" w:eastAsia="Times New Roman" w:hAnsi="Times New Roman"/>
          <w:sz w:val="23"/>
          <w:szCs w:val="23"/>
          <w:color w:val="auto"/>
        </w:rPr>
      </w:pPr>
    </w:p>
    <w:p>
      <w:pPr>
        <w:jc w:val="both"/>
        <w:ind w:left="720" w:hanging="375"/>
        <w:spacing w:after="0" w:line="261" w:lineRule="auto"/>
        <w:tabs>
          <w:tab w:leader="none" w:pos="720"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official documents for the Plan and Trust Fund have been designed, and are intended to be operated, in accordance with the relevant plan qualification and tax-exemption provisions of PRIRC § 1081.01(a) and the reporting and</w:t>
      </w:r>
    </w:p>
    <w:p>
      <w:pPr>
        <w:ind w:left="720" w:right="200"/>
        <w:spacing w:after="0" w:line="269" w:lineRule="auto"/>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disclosure, participation and vesting, fiduciary responsibility, and administration and enforcement provisions of Title I of ERISA.</w:t>
      </w:r>
    </w:p>
    <w:p>
      <w:pPr>
        <w:spacing w:after="0" w:line="173" w:lineRule="exact"/>
        <w:rPr>
          <w:rFonts w:ascii="Times New Roman" w:cs="Times New Roman" w:eastAsia="Times New Roman" w:hAnsi="Times New Roman"/>
          <w:sz w:val="23"/>
          <w:szCs w:val="23"/>
          <w:color w:val="auto"/>
        </w:rPr>
      </w:pPr>
    </w:p>
    <w:p>
      <w:pPr>
        <w:ind w:left="720" w:right="260" w:hanging="375"/>
        <w:spacing w:after="0" w:line="232" w:lineRule="auto"/>
        <w:tabs>
          <w:tab w:leader="none" w:pos="720"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Active participation in the Plan is limited to the eligible employees of Honeywell Aerospace Inc. and its participating affiliates and subsidiaries who, in accordance with ERISA § 1022(i)(1), are bona fide residents of Puerto Rico.</w:t>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line="200" w:lineRule="exact"/>
        <w:rPr>
          <w:sz w:val="20"/>
          <w:szCs w:val="20"/>
          <w:color w:val="auto"/>
        </w:rPr>
      </w:pPr>
    </w:p>
    <w:p>
      <w:pPr>
        <w:spacing w:after="0" w:line="392" w:lineRule="exact"/>
        <w:rPr>
          <w:sz w:val="20"/>
          <w:szCs w:val="20"/>
          <w:color w:val="auto"/>
        </w:rPr>
      </w:pPr>
    </w:p>
    <w:p>
      <w:pPr>
        <w:ind w:left="720" w:hanging="375"/>
        <w:spacing w:after="0" w:line="288" w:lineRule="auto"/>
        <w:tabs>
          <w:tab w:leader="none" w:pos="72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Trust Fund is established, organized, and registered under the laws of Puerto Rico and its trustee is a financial institution located in Puerto Rico.</w:t>
      </w:r>
    </w:p>
    <w:p>
      <w:pPr>
        <w:spacing w:after="0" w:line="166" w:lineRule="exact"/>
        <w:rPr>
          <w:rFonts w:ascii="Times New Roman" w:cs="Times New Roman" w:eastAsia="Times New Roman" w:hAnsi="Times New Roman"/>
          <w:sz w:val="23"/>
          <w:szCs w:val="23"/>
          <w:color w:val="auto"/>
        </w:rPr>
      </w:pPr>
    </w:p>
    <w:p>
      <w:pPr>
        <w:jc w:val="both"/>
        <w:ind w:left="720" w:hanging="375"/>
        <w:spacing w:after="0" w:line="271" w:lineRule="auto"/>
        <w:tabs>
          <w:tab w:leader="none" w:pos="72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In accordance with Circular Letter of Tax Policy No. 16-08, by the end of 2026, the Plan and Trust Fund will be filed with the Puerto Rico Treasury Department to obtain a determination letter confirming the Plan’s local qualification and the Trust Fund’s local tax exemption under PRIRC § 1081.01(a).</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3"/>
          <w:szCs w:val="23"/>
          <w:color w:val="auto"/>
        </w:rPr>
        <w:t>This opinion is being furnished to you solely for your benefit in connection with the filing by Honeywell Aerospace Inc. of a registration statement on Form S-8 (the “</w:t>
      </w:r>
      <w:r>
        <w:rPr>
          <w:rFonts w:ascii="Times New Roman" w:cs="Times New Roman" w:eastAsia="Times New Roman" w:hAnsi="Times New Roman"/>
          <w:sz w:val="23"/>
          <w:szCs w:val="23"/>
          <w:i w:val="1"/>
          <w:iCs w:val="1"/>
          <w:u w:val="single" w:color="auto"/>
          <w:color w:val="auto"/>
        </w:rPr>
        <w:t>Registration Statement</w:t>
      </w:r>
      <w:r>
        <w:rPr>
          <w:rFonts w:ascii="Times New Roman" w:cs="Times New Roman" w:eastAsia="Times New Roman" w:hAnsi="Times New Roman"/>
          <w:sz w:val="23"/>
          <w:szCs w:val="23"/>
          <w:color w:val="auto"/>
        </w:rPr>
        <w:t>”) pursuant to the Securities Act of 1933, as amended, with respect to shares of Honeywell Aerospace Inc. common stock, par value $0.01 per share, that may be allocated to participant accounts under the Plan and is not to be used, circulated, quote, relied upon or otherwise referred to for any other purpose, without my prior written consent. I hereby consent to the use of this opinion as an exhibit to the Registration Statement.</w:t>
      </w:r>
    </w:p>
    <w:p>
      <w:pPr>
        <w:spacing w:after="0" w:line="21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3"/>
          <w:szCs w:val="23"/>
          <w:color w:val="auto"/>
        </w:rPr>
        <w:t>If you have any questions or would like more information about this matter, please contact me at your earliest convenience.</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3"/>
          <w:szCs w:val="23"/>
          <w:color w:val="auto"/>
        </w:rPr>
        <w:t>Cordially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64135</wp:posOffset>
            </wp:positionV>
            <wp:extent cx="1628775" cy="474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628775"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3"/>
          <w:szCs w:val="23"/>
          <w:color w:val="auto"/>
        </w:rPr>
        <w:t>Carlos Gonzalez</w:t>
      </w:r>
    </w:p>
    <w:p>
      <w:pPr>
        <w:spacing w:after="0" w:line="283" w:lineRule="exact"/>
        <w:rPr>
          <w:sz w:val="20"/>
          <w:szCs w:val="20"/>
          <w:color w:val="auto"/>
        </w:rPr>
      </w:pPr>
    </w:p>
    <w:p>
      <w:pPr>
        <w:ind w:left="1040" w:right="7260" w:hanging="1015"/>
        <w:spacing w:after="0" w:line="265" w:lineRule="auto"/>
        <w:tabs>
          <w:tab w:leader="none" w:pos="1040" w:val="left"/>
        </w:tabs>
        <w:numPr>
          <w:ilvl w:val="0"/>
          <w:numId w:val="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Christopher Rukus (Aerospace) Lisa Dooley (Honeywell) Ashely Quick (Honeywell) Kevin Criddle (DLA Piper)</w:t>
      </w:r>
    </w:p>
    <w:p>
      <w:pPr>
        <w:sectPr>
          <w:pgSz w:w="11900" w:h="16838" w:orient="portrait"/>
          <w:cols w:equalWidth="0" w:num="1">
            <w:col w:w="11240"/>
          </w:cols>
          <w:pgMar w:left="320" w:top="144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this Registration Statement on Form S-8 of our report dated February 20, 2026 relating to</w:t>
      </w:r>
    </w:p>
    <w:p>
      <w:pPr>
        <w:spacing w:after="0" w:line="6" w:lineRule="exact"/>
        <w:rPr>
          <w:sz w:val="20"/>
          <w:szCs w:val="20"/>
          <w:color w:val="auto"/>
        </w:rPr>
      </w:pPr>
    </w:p>
    <w:p>
      <w:pPr>
        <w:ind w:right="420"/>
        <w:spacing w:after="0" w:line="239" w:lineRule="auto"/>
        <w:rPr>
          <w:sz w:val="20"/>
          <w:szCs w:val="20"/>
          <w:color w:val="auto"/>
        </w:rPr>
      </w:pPr>
      <w:r>
        <w:rPr>
          <w:rFonts w:ascii="Verdana" w:cs="Verdana" w:eastAsia="Verdana" w:hAnsi="Verdana"/>
          <w:sz w:val="16"/>
          <w:szCs w:val="16"/>
          <w:color w:val="auto"/>
        </w:rPr>
        <w:t>the financial statements of Honeywell Aerospace Inc. appearing in (1) Amendment No. 2 to the Registration Statement on Form 10 of Honeywell Aerospace Inc. (Registration No. 001-43173) filed on June 8, 2026 and (2) the Current Report on Form 8-K of Honeywell</w:t>
      </w:r>
    </w:p>
    <w:p>
      <w:pPr>
        <w:spacing w:after="0"/>
        <w:rPr>
          <w:sz w:val="20"/>
          <w:szCs w:val="20"/>
          <w:color w:val="auto"/>
        </w:rPr>
      </w:pPr>
      <w:r>
        <w:rPr>
          <w:rFonts w:ascii="Verdana" w:cs="Verdana" w:eastAsia="Verdana" w:hAnsi="Verdana"/>
          <w:sz w:val="16"/>
          <w:szCs w:val="16"/>
          <w:color w:val="auto"/>
        </w:rPr>
        <w:t>Aerospace Inc. filed on June 15, 2026.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rPr>
          <w:sz w:val="20"/>
          <w:szCs w:val="20"/>
          <w:color w:val="auto"/>
        </w:rPr>
      </w:pPr>
      <w:r>
        <w:rPr>
          <w:rFonts w:ascii="Verdana" w:cs="Verdana" w:eastAsia="Verdana" w:hAnsi="Verdana"/>
          <w:sz w:val="16"/>
          <w:szCs w:val="16"/>
          <w:color w:val="auto"/>
        </w:rPr>
        <w:t>Tempe, Arizona</w:t>
      </w:r>
    </w:p>
    <w:p>
      <w:pPr>
        <w:spacing w:after="0" w:line="6" w:lineRule="exact"/>
        <w:rPr>
          <w:sz w:val="20"/>
          <w:szCs w:val="20"/>
          <w:color w:val="auto"/>
        </w:rPr>
      </w:pPr>
    </w:p>
    <w:p>
      <w:pPr>
        <w:spacing w:after="0"/>
        <w:rPr>
          <w:sz w:val="20"/>
          <w:szCs w:val="20"/>
          <w:color w:val="auto"/>
        </w:rPr>
      </w:pPr>
      <w:r>
        <w:rPr>
          <w:rFonts w:ascii="Verdana" w:cs="Verdana" w:eastAsia="Verdana" w:hAnsi="Verdana"/>
          <w:sz w:val="16"/>
          <w:szCs w:val="16"/>
          <w:color w:val="auto"/>
        </w:rPr>
        <w:t>June 29,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3D1B58BA"/>
    <w:multiLevelType w:val="hybridMultilevel"/>
    <w:lvl w:ilvl="0">
      <w:lvlJc w:val="left"/>
      <w:lvlText w:val="%1"/>
      <w:numFmt w:val="lowerLetter"/>
      <w:start w:val="1"/>
    </w:lvl>
    <w:lvl w:ilvl="1">
      <w:lvlJc w:val="left"/>
      <w:lvlText w:val="(%2)"/>
      <w:numFmt w:val="decimal"/>
      <w:start w:val="2"/>
    </w:lvl>
  </w:abstractNum>
  <w:abstractNum w:abstractNumId="3">
    <w:nsid w:val="507ED7AB"/>
    <w:multiLevelType w:val="hybridMultilevel"/>
    <w:lvl w:ilvl="0">
      <w:lvlJc w:val="left"/>
      <w:lvlText w:val="(%1)"/>
      <w:numFmt w:val="lowerLetter"/>
      <w:start w:val="2"/>
    </w:lvl>
    <w:lvl w:ilvl="1">
      <w:lvlJc w:val="left"/>
      <w:lvlText w:val="%2"/>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31" Type="http://schemas.openxmlformats.org/officeDocument/2006/relationships/image" Target="media/image15.jpeg"/><Relationship Id="rId15" Type="http://schemas.openxmlformats.org/officeDocument/2006/relationships/hyperlink" Target="https://www.sec.gov/Archives/edgar/data/2089271/000162828026013549/honeywellaerospace-10x12b.htm" TargetMode="External"/><Relationship Id="rId16" Type="http://schemas.openxmlformats.org/officeDocument/2006/relationships/hyperlink" Target="https://www.sec.gov/Archives/edgar/data/2089271/000162828026035212/honeywellaerospace-10x12ba1.htm" TargetMode="External"/><Relationship Id="rId17" Type="http://schemas.openxmlformats.org/officeDocument/2006/relationships/hyperlink" Target="https://www.sec.gov/Archives/edgar/data/2089271/000162828026041399/honeywellaerospace-10x12ba2.htm" TargetMode="External"/><Relationship Id="rId18" Type="http://schemas.openxmlformats.org/officeDocument/2006/relationships/hyperlink" Target="https://www.sec.gov/ix?doc=/Archives/edgar/data/2089271/000162828026043193/hona-20260614.htm" TargetMode="External"/><Relationship Id="rId19" Type="http://schemas.openxmlformats.org/officeDocument/2006/relationships/hyperlink" Target="https://www.sec.gov/ix?doc=/Archives/edgar/data/2089271/000162828026045348/hona-20260624.htm" TargetMode="External"/><Relationship Id="rId20" Type="http://schemas.openxmlformats.org/officeDocument/2006/relationships/hyperlink" Target="https://www.sec.gov/ix?doc=/Archives/edgar/data/2089271/000162828026045874/hona-20260625.htm" TargetMode="External"/><Relationship Id="rId21" Type="http://schemas.openxmlformats.org/officeDocument/2006/relationships/hyperlink" Target="https://www.sec.gov/Archives/edgar/data/2089271/000162828026043193/exhibit991-informationstat.htm" TargetMode="External"/><Relationship Id="rId22" Type="http://schemas.openxmlformats.org/officeDocument/2006/relationships/hyperlink" Target="https://www.sec.gov/Archives/edgar/data/2089271/000162828026045874/exhibit31-closing8xk.htm" TargetMode="External"/><Relationship Id="rId23" Type="http://schemas.openxmlformats.org/officeDocument/2006/relationships/hyperlink" Target="https://www.sec.gov/Archives/edgar/data/2089271/000162828026045874/exhibit32-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2026-06-29T15:17:03Z</dcterms:created>
  <dcterms:modified xsi:type="dcterms:W3CDTF">2026-06-29T15:17:03Z</dcterms:modified>
</cp:coreProperties>
</file>